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EF2003">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CE2850">
      <w:pPr>
        <w:spacing w:before="60"/>
        <w:jc w:val="both"/>
        <w:outlineLvl w:val="0"/>
        <w:rPr>
          <w:rFonts w:ascii="Calibri" w:hAnsi="Calibri"/>
          <w:sz w:val="22"/>
          <w:szCs w:val="22"/>
        </w:rPr>
      </w:pPr>
    </w:p>
    <w:p w14:paraId="07F58E75" w14:textId="77777777" w:rsidR="007F1763" w:rsidRPr="00D15F32" w:rsidRDefault="007F1763"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2E411F"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1E5EB8">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175D0FC4" w:rsidR="00EC3375" w:rsidRPr="00E852A6" w:rsidRDefault="00E852A6" w:rsidP="00D714C6">
            <w:pPr>
              <w:spacing w:before="60"/>
              <w:jc w:val="center"/>
              <w:outlineLvl w:val="0"/>
              <w:rPr>
                <w:rFonts w:ascii="Calibri" w:hAnsi="Calibri"/>
                <w:sz w:val="22"/>
                <w:szCs w:val="22"/>
                <w:lang w:val="en-GB"/>
              </w:rPr>
            </w:pPr>
            <w:r w:rsidRPr="00E852A6">
              <w:rPr>
                <w:rFonts w:ascii="Calibri" w:hAnsi="Calibri"/>
                <w:sz w:val="22"/>
                <w:szCs w:val="22"/>
                <w:lang w:val="en-GB"/>
              </w:rPr>
              <w:t>Technical support to implement green budgeting practices for local authorities in France</w:t>
            </w:r>
          </w:p>
        </w:tc>
      </w:tr>
      <w:tr w:rsidR="00EC3375"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Default="00EC3375" w:rsidP="001E5EB8">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4457B0F9" w:rsidR="00EC3375" w:rsidRPr="00A14686" w:rsidRDefault="00E852A6" w:rsidP="009649DE">
            <w:pPr>
              <w:spacing w:before="60"/>
              <w:jc w:val="center"/>
              <w:outlineLvl w:val="0"/>
              <w:rPr>
                <w:rFonts w:ascii="Calibri" w:hAnsi="Calibri"/>
                <w:sz w:val="22"/>
                <w:szCs w:val="22"/>
              </w:rPr>
            </w:pPr>
            <w:r w:rsidRPr="00E852A6">
              <w:rPr>
                <w:rFonts w:ascii="Calibri" w:hAnsi="Calibri"/>
                <w:sz w:val="22"/>
                <w:szCs w:val="22"/>
              </w:rPr>
              <w:t>Direction Générale des Finances Publiques (DGFiP) and Direction du Budget (Ministère de l’Économie, des Finances et de l’Industrie)</w:t>
            </w:r>
            <w:r>
              <w:rPr>
                <w:rFonts w:ascii="Calibri" w:hAnsi="Calibri"/>
                <w:sz w:val="22"/>
                <w:szCs w:val="22"/>
              </w:rPr>
              <w:t xml:space="preserve"> </w:t>
            </w:r>
          </w:p>
        </w:tc>
      </w:tr>
      <w:tr w:rsidR="00EC3375"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Default="00EC3375" w:rsidP="001E5EB8">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5AFCF9CC" w:rsidR="00EC3375" w:rsidRPr="00F7782D" w:rsidRDefault="00E852A6" w:rsidP="0017140E">
            <w:pPr>
              <w:jc w:val="center"/>
            </w:pPr>
            <w:r w:rsidRPr="00E852A6">
              <w:rPr>
                <w:rFonts w:ascii="Calibri" w:hAnsi="Calibri"/>
                <w:sz w:val="22"/>
                <w:szCs w:val="22"/>
                <w:lang w:val="en-GB"/>
              </w:rPr>
              <w:t>France</w:t>
            </w:r>
          </w:p>
        </w:tc>
      </w:tr>
      <w:tr w:rsidR="000972A8"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777777" w:rsidR="000972A8" w:rsidRDefault="000972A8" w:rsidP="001E5EB8">
            <w:pPr>
              <w:spacing w:before="60"/>
              <w:outlineLvl w:val="0"/>
              <w:rPr>
                <w:rFonts w:ascii="Calibri" w:hAnsi="Calibri"/>
                <w:sz w:val="22"/>
                <w:szCs w:val="22"/>
              </w:rPr>
            </w:pPr>
            <w:r>
              <w:rPr>
                <w:rFonts w:ascii="Calibri" w:hAnsi="Calibri"/>
                <w:sz w:val="22"/>
                <w:szCs w:val="22"/>
              </w:rPr>
              <w:t>Durée totale des jours prévus</w:t>
            </w:r>
          </w:p>
        </w:tc>
        <w:tc>
          <w:tcPr>
            <w:tcW w:w="6169" w:type="dxa"/>
            <w:tcBorders>
              <w:top w:val="dashSmallGap" w:sz="4" w:space="0" w:color="auto"/>
              <w:left w:val="single" w:sz="2" w:space="0" w:color="000000"/>
              <w:bottom w:val="dashSmallGap" w:sz="4" w:space="0" w:color="auto"/>
            </w:tcBorders>
          </w:tcPr>
          <w:p w14:paraId="585213D8" w14:textId="602F9205" w:rsidR="000972A8" w:rsidRDefault="00E852A6" w:rsidP="00E852A6">
            <w:pPr>
              <w:spacing w:before="60"/>
              <w:jc w:val="center"/>
              <w:outlineLvl w:val="0"/>
              <w:rPr>
                <w:rFonts w:ascii="Calibri" w:hAnsi="Calibri"/>
                <w:sz w:val="22"/>
                <w:szCs w:val="22"/>
              </w:rPr>
            </w:pPr>
            <w:r>
              <w:rPr>
                <w:rFonts w:ascii="Calibri" w:hAnsi="Calibri"/>
                <w:sz w:val="22"/>
                <w:szCs w:val="22"/>
              </w:rPr>
              <w:t>210</w:t>
            </w:r>
          </w:p>
        </w:tc>
      </w:tr>
    </w:tbl>
    <w:p w14:paraId="5639991B" w14:textId="77777777" w:rsidR="00671483" w:rsidRDefault="00671483" w:rsidP="00CE2850">
      <w:pPr>
        <w:spacing w:before="60"/>
        <w:jc w:val="both"/>
        <w:outlineLvl w:val="0"/>
        <w:rPr>
          <w:rFonts w:ascii="Calibri" w:hAnsi="Calibri"/>
          <w:sz w:val="22"/>
          <w:szCs w:val="22"/>
        </w:rPr>
      </w:pPr>
    </w:p>
    <w:p w14:paraId="7AB3782C" w14:textId="0A174CD8" w:rsidR="001D27F6" w:rsidRPr="00D15F32" w:rsidRDefault="000942EE"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216283E" w14:textId="77777777" w:rsidR="001441C8" w:rsidRPr="00D15F32" w:rsidRDefault="001441C8" w:rsidP="001D27F6">
      <w:pPr>
        <w:rPr>
          <w:rFonts w:ascii="Calibri" w:hAnsi="Calibri"/>
          <w:sz w:val="22"/>
          <w:szCs w:val="22"/>
        </w:rPr>
      </w:pPr>
    </w:p>
    <w:p w14:paraId="7D490B96" w14:textId="77777777" w:rsidR="00E852A6" w:rsidRPr="00E852A6" w:rsidRDefault="00E852A6" w:rsidP="00E852A6">
      <w:pPr>
        <w:pStyle w:val="Paragraphedeliste2"/>
        <w:spacing w:after="200" w:line="276" w:lineRule="auto"/>
        <w:ind w:left="0"/>
        <w:contextualSpacing/>
        <w:jc w:val="both"/>
        <w:rPr>
          <w:rFonts w:ascii="Calibri" w:hAnsi="Calibri"/>
          <w:sz w:val="22"/>
          <w:szCs w:val="22"/>
        </w:rPr>
      </w:pPr>
      <w:r w:rsidRPr="00E852A6">
        <w:rPr>
          <w:rFonts w:ascii="Calibri" w:hAnsi="Calibri"/>
          <w:sz w:val="22"/>
          <w:szCs w:val="22"/>
        </w:rPr>
        <w:t>Expertise France est une agence publique qui conçoit et met en œuvre des projets de coopération technique internationale. Elle est membre du groupe des agences françaises de développement. L'Agence intervient dans quatre domaines prioritaires :</w:t>
      </w:r>
    </w:p>
    <w:p w14:paraId="764E8288" w14:textId="3D1B0988" w:rsidR="00E852A6" w:rsidRPr="00E852A6" w:rsidRDefault="00E852A6" w:rsidP="008F013B">
      <w:pPr>
        <w:pStyle w:val="Paragraphedeliste2"/>
        <w:numPr>
          <w:ilvl w:val="0"/>
          <w:numId w:val="8"/>
        </w:numPr>
        <w:spacing w:after="200" w:line="276" w:lineRule="auto"/>
        <w:contextualSpacing/>
        <w:jc w:val="both"/>
        <w:rPr>
          <w:rFonts w:ascii="Calibri" w:hAnsi="Calibri"/>
          <w:sz w:val="22"/>
          <w:szCs w:val="22"/>
        </w:rPr>
      </w:pPr>
      <w:r w:rsidRPr="00E852A6">
        <w:rPr>
          <w:rFonts w:ascii="Calibri" w:hAnsi="Calibri"/>
          <w:sz w:val="22"/>
          <w:szCs w:val="22"/>
        </w:rPr>
        <w:t>la gouvernance démocratique, économique et financière</w:t>
      </w:r>
    </w:p>
    <w:p w14:paraId="3CF2A427" w14:textId="1FC02689" w:rsidR="00E852A6" w:rsidRPr="00E852A6" w:rsidRDefault="00E852A6" w:rsidP="008F013B">
      <w:pPr>
        <w:pStyle w:val="Paragraphedeliste2"/>
        <w:numPr>
          <w:ilvl w:val="0"/>
          <w:numId w:val="8"/>
        </w:numPr>
        <w:spacing w:after="200" w:line="276" w:lineRule="auto"/>
        <w:contextualSpacing/>
        <w:jc w:val="both"/>
        <w:rPr>
          <w:rFonts w:ascii="Calibri" w:hAnsi="Calibri"/>
          <w:sz w:val="22"/>
          <w:szCs w:val="22"/>
        </w:rPr>
      </w:pPr>
      <w:r w:rsidRPr="00E852A6">
        <w:rPr>
          <w:rFonts w:ascii="Calibri" w:hAnsi="Calibri"/>
          <w:sz w:val="22"/>
          <w:szCs w:val="22"/>
        </w:rPr>
        <w:t>la paix, la stabilité et la sécurité</w:t>
      </w:r>
    </w:p>
    <w:p w14:paraId="439032AD" w14:textId="29931BE7" w:rsidR="00E852A6" w:rsidRPr="00E852A6" w:rsidRDefault="00E852A6" w:rsidP="008F013B">
      <w:pPr>
        <w:pStyle w:val="Paragraphedeliste2"/>
        <w:numPr>
          <w:ilvl w:val="0"/>
          <w:numId w:val="8"/>
        </w:numPr>
        <w:spacing w:after="200" w:line="276" w:lineRule="auto"/>
        <w:contextualSpacing/>
        <w:jc w:val="both"/>
        <w:rPr>
          <w:rFonts w:ascii="Calibri" w:hAnsi="Calibri"/>
          <w:sz w:val="22"/>
          <w:szCs w:val="22"/>
        </w:rPr>
      </w:pPr>
      <w:r w:rsidRPr="00E852A6">
        <w:rPr>
          <w:rFonts w:ascii="Calibri" w:hAnsi="Calibri"/>
          <w:sz w:val="22"/>
          <w:szCs w:val="22"/>
        </w:rPr>
        <w:t>le climat, l'agriculture et le développement durable</w:t>
      </w:r>
    </w:p>
    <w:p w14:paraId="0DF4EDC5" w14:textId="0BA2475C" w:rsidR="00E852A6" w:rsidRPr="00E852A6" w:rsidRDefault="00E852A6" w:rsidP="008F013B">
      <w:pPr>
        <w:pStyle w:val="Paragraphedeliste2"/>
        <w:numPr>
          <w:ilvl w:val="0"/>
          <w:numId w:val="8"/>
        </w:numPr>
        <w:spacing w:after="200" w:line="276" w:lineRule="auto"/>
        <w:contextualSpacing/>
        <w:jc w:val="both"/>
        <w:rPr>
          <w:rFonts w:ascii="Calibri" w:hAnsi="Calibri"/>
          <w:sz w:val="22"/>
          <w:szCs w:val="22"/>
        </w:rPr>
      </w:pPr>
      <w:r w:rsidRPr="00E852A6">
        <w:rPr>
          <w:rFonts w:ascii="Calibri" w:hAnsi="Calibri"/>
          <w:sz w:val="22"/>
          <w:szCs w:val="22"/>
        </w:rPr>
        <w:t>la santé et le développement humain.</w:t>
      </w:r>
    </w:p>
    <w:p w14:paraId="085246A8" w14:textId="77777777" w:rsidR="00E852A6" w:rsidRPr="00E852A6" w:rsidRDefault="00E852A6" w:rsidP="00E852A6">
      <w:pPr>
        <w:pStyle w:val="Paragraphedeliste2"/>
        <w:spacing w:after="200" w:line="276" w:lineRule="auto"/>
        <w:ind w:left="180"/>
        <w:contextualSpacing/>
        <w:jc w:val="both"/>
        <w:rPr>
          <w:rFonts w:ascii="Calibri" w:hAnsi="Calibri"/>
          <w:sz w:val="22"/>
          <w:szCs w:val="22"/>
        </w:rPr>
      </w:pPr>
    </w:p>
    <w:p w14:paraId="576D5553" w14:textId="77777777" w:rsidR="00E852A6" w:rsidRPr="00E852A6" w:rsidRDefault="00E852A6" w:rsidP="00E852A6">
      <w:pPr>
        <w:pStyle w:val="Paragraphedeliste2"/>
        <w:spacing w:after="200" w:line="276" w:lineRule="auto"/>
        <w:ind w:left="0"/>
        <w:contextualSpacing/>
        <w:jc w:val="both"/>
        <w:rPr>
          <w:rFonts w:ascii="Calibri" w:hAnsi="Calibri"/>
          <w:sz w:val="22"/>
          <w:szCs w:val="22"/>
        </w:rPr>
      </w:pPr>
      <w:r w:rsidRPr="00E852A6">
        <w:rPr>
          <w:rFonts w:ascii="Calibri" w:hAnsi="Calibri"/>
          <w:sz w:val="22"/>
          <w:szCs w:val="22"/>
        </w:rPr>
        <w:t>Dans ces domaines, Expertise France assure l'ingénierie et la mise en œuvre de projets de renforcement des capacités, mobilise l'expertise technique et joue un rôle de coordinateur de projets, associant expertise publique et savoir-faire privé.</w:t>
      </w:r>
    </w:p>
    <w:p w14:paraId="186F3722" w14:textId="77777777" w:rsidR="00E852A6" w:rsidRPr="00E852A6" w:rsidRDefault="00E852A6" w:rsidP="00E852A6">
      <w:pPr>
        <w:pStyle w:val="Paragraphedeliste2"/>
        <w:spacing w:after="200" w:line="276" w:lineRule="auto"/>
        <w:ind w:left="180"/>
        <w:contextualSpacing/>
        <w:jc w:val="both"/>
        <w:rPr>
          <w:rFonts w:ascii="Calibri" w:hAnsi="Calibri"/>
          <w:sz w:val="22"/>
          <w:szCs w:val="22"/>
        </w:rPr>
      </w:pPr>
    </w:p>
    <w:p w14:paraId="45904B8D" w14:textId="4A4C54EC" w:rsidR="008F013B" w:rsidRDefault="008F013B" w:rsidP="00E852A6">
      <w:pPr>
        <w:pStyle w:val="Paragraphedeliste2"/>
        <w:spacing w:after="200" w:line="276" w:lineRule="auto"/>
        <w:ind w:left="0"/>
        <w:contextualSpacing/>
        <w:jc w:val="both"/>
        <w:rPr>
          <w:rFonts w:ascii="Calibri" w:hAnsi="Calibri"/>
          <w:sz w:val="22"/>
          <w:szCs w:val="22"/>
        </w:rPr>
      </w:pPr>
    </w:p>
    <w:p w14:paraId="204D18E7" w14:textId="77777777" w:rsidR="008F013B" w:rsidRPr="008F013B" w:rsidRDefault="008F013B" w:rsidP="008F013B">
      <w:pPr>
        <w:pStyle w:val="Paragraphedeliste2"/>
        <w:spacing w:after="200" w:line="276" w:lineRule="auto"/>
        <w:ind w:left="0"/>
        <w:contextualSpacing/>
        <w:jc w:val="both"/>
        <w:rPr>
          <w:rFonts w:ascii="Calibri" w:hAnsi="Calibri"/>
          <w:sz w:val="22"/>
          <w:szCs w:val="22"/>
          <w:u w:val="single"/>
        </w:rPr>
      </w:pPr>
      <w:r w:rsidRPr="008F013B">
        <w:rPr>
          <w:rFonts w:ascii="Calibri" w:hAnsi="Calibri"/>
          <w:sz w:val="22"/>
          <w:szCs w:val="22"/>
          <w:u w:val="single"/>
        </w:rPr>
        <w:t>Contexte spécifique au projet et au pays :</w:t>
      </w:r>
    </w:p>
    <w:p w14:paraId="48C10E0A" w14:textId="77777777" w:rsidR="008F013B" w:rsidRPr="008F013B" w:rsidRDefault="008F013B" w:rsidP="008F013B">
      <w:pPr>
        <w:pStyle w:val="Paragraphedeliste2"/>
        <w:spacing w:after="200" w:line="276" w:lineRule="auto"/>
        <w:contextualSpacing/>
        <w:jc w:val="both"/>
        <w:rPr>
          <w:rFonts w:ascii="Calibri" w:hAnsi="Calibri"/>
          <w:sz w:val="22"/>
          <w:szCs w:val="22"/>
        </w:rPr>
      </w:pPr>
    </w:p>
    <w:p w14:paraId="31447159" w14:textId="0EED3ED8" w:rsidR="008F013B" w:rsidRDefault="008F013B" w:rsidP="008F013B">
      <w:pPr>
        <w:pStyle w:val="Paragraphedeliste2"/>
        <w:spacing w:after="200" w:line="276" w:lineRule="auto"/>
        <w:ind w:left="0"/>
        <w:contextualSpacing/>
        <w:jc w:val="both"/>
        <w:rPr>
          <w:rFonts w:ascii="Calibri" w:hAnsi="Calibri"/>
          <w:sz w:val="22"/>
          <w:szCs w:val="22"/>
        </w:rPr>
      </w:pPr>
      <w:r w:rsidRPr="008F013B">
        <w:rPr>
          <w:rFonts w:ascii="Calibri" w:hAnsi="Calibri"/>
          <w:sz w:val="22"/>
          <w:szCs w:val="22"/>
        </w:rPr>
        <w:t>La budgétisation verte vise à aligner les budgets nationaux sur les objectifs de durabilité en identifiant, évaluant et communiquant systématiquement les dépenses et les recettes qui ont un impact sur les objectifs climatiques et environnementaux. Cette initiative de réforme renforce la transparence, la cohérence des politiques et la prise de décision éclairée, soutenant ainsi la transition vers une économie durable et résiliente.</w:t>
      </w:r>
    </w:p>
    <w:p w14:paraId="3E90A3C9" w14:textId="77777777" w:rsidR="008F013B" w:rsidRPr="008F013B" w:rsidRDefault="008F013B" w:rsidP="008F013B">
      <w:pPr>
        <w:pStyle w:val="Paragraphedeliste2"/>
        <w:spacing w:after="200" w:line="276" w:lineRule="auto"/>
        <w:ind w:left="0"/>
        <w:contextualSpacing/>
        <w:jc w:val="both"/>
        <w:rPr>
          <w:rFonts w:ascii="Calibri" w:hAnsi="Calibri"/>
          <w:sz w:val="22"/>
          <w:szCs w:val="22"/>
        </w:rPr>
      </w:pPr>
    </w:p>
    <w:p w14:paraId="6D62B979" w14:textId="29BD2366" w:rsidR="008F013B" w:rsidRDefault="008F013B" w:rsidP="008F013B">
      <w:pPr>
        <w:pStyle w:val="Paragraphedeliste2"/>
        <w:spacing w:after="200" w:line="276" w:lineRule="auto"/>
        <w:ind w:left="0"/>
        <w:contextualSpacing/>
        <w:jc w:val="both"/>
        <w:rPr>
          <w:rFonts w:ascii="Calibri" w:hAnsi="Calibri"/>
          <w:sz w:val="22"/>
          <w:szCs w:val="22"/>
        </w:rPr>
      </w:pPr>
      <w:r w:rsidRPr="008F013B">
        <w:rPr>
          <w:rFonts w:ascii="Calibri" w:hAnsi="Calibri"/>
          <w:sz w:val="22"/>
          <w:szCs w:val="22"/>
        </w:rPr>
        <w:t>Le cadre de gouvernance économique réformé de l'UE, qui est entré en vigueur en avril 2024, vise à garantir des finances publiques saines et durables tout en promouvant une croissance économique inclusive et durable. La réforme introduit des plans structurels budgétaires à moyen terme, exigeant des États membres qu'ils décrivent les politiques budgétaires, structurelles et d'investissement sur un horizon de quatre à cinq ans, avec des perspectives macroéconomiques s'étendant jusqu'à sept ans pour les réformes et les investissements. Ce cadre permet d'aligner les finances publiques sur les défis propres à chaque pays et sur les priorités de l'UE, notamment le "Green Deal" européen.</w:t>
      </w:r>
    </w:p>
    <w:p w14:paraId="24EC071D" w14:textId="247F5AE6" w:rsidR="00E852A6" w:rsidRDefault="00E852A6" w:rsidP="004F0DD7">
      <w:pPr>
        <w:pStyle w:val="Paragraphedeliste2"/>
        <w:spacing w:after="200" w:line="276" w:lineRule="auto"/>
        <w:ind w:left="0"/>
        <w:contextualSpacing/>
        <w:jc w:val="both"/>
        <w:rPr>
          <w:rFonts w:ascii="Calibri" w:hAnsi="Calibri"/>
          <w:sz w:val="22"/>
          <w:szCs w:val="22"/>
        </w:rPr>
      </w:pPr>
    </w:p>
    <w:p w14:paraId="6BB624B8" w14:textId="54796A1E" w:rsidR="008F013B" w:rsidRDefault="008F013B" w:rsidP="008F013B">
      <w:pPr>
        <w:pStyle w:val="Paragraphedeliste2"/>
        <w:spacing w:after="200" w:line="276" w:lineRule="auto"/>
        <w:ind w:left="0"/>
        <w:contextualSpacing/>
        <w:jc w:val="both"/>
        <w:rPr>
          <w:rFonts w:ascii="Calibri" w:hAnsi="Calibri"/>
          <w:sz w:val="22"/>
          <w:szCs w:val="22"/>
        </w:rPr>
      </w:pPr>
      <w:r w:rsidRPr="008F013B">
        <w:rPr>
          <w:rFonts w:ascii="Calibri" w:hAnsi="Calibri"/>
          <w:sz w:val="22"/>
          <w:szCs w:val="22"/>
        </w:rPr>
        <w:t>La directive européenne 2024/1265 récemment adoptée et le nouveau cadre de gouvernance économique de l'UE soulignent l'importance d'aligner les politiques fiscales sur les objectifs de durabilité et de climat. La directive exige des États membres qu'ils fassent rapport sur les risques macro-budgétaires découlant du changement climatique, sur les passifs éventuels liés au climat et sur le coût fiscal des catastrophes.</w:t>
      </w:r>
    </w:p>
    <w:p w14:paraId="50E8E959" w14:textId="77777777" w:rsidR="008F013B" w:rsidRPr="008F013B" w:rsidRDefault="008F013B" w:rsidP="008F013B">
      <w:pPr>
        <w:pStyle w:val="Paragraphedeliste2"/>
        <w:spacing w:after="200" w:line="276" w:lineRule="auto"/>
        <w:ind w:left="0"/>
        <w:contextualSpacing/>
        <w:jc w:val="both"/>
        <w:rPr>
          <w:rFonts w:ascii="Calibri" w:hAnsi="Calibri"/>
          <w:sz w:val="22"/>
          <w:szCs w:val="22"/>
        </w:rPr>
      </w:pPr>
    </w:p>
    <w:p w14:paraId="1C19301A" w14:textId="1FD734A4" w:rsidR="008F013B" w:rsidRDefault="008F013B" w:rsidP="008F013B">
      <w:pPr>
        <w:pStyle w:val="Paragraphedeliste2"/>
        <w:spacing w:after="200" w:line="276" w:lineRule="auto"/>
        <w:ind w:left="0"/>
        <w:contextualSpacing/>
        <w:jc w:val="both"/>
        <w:rPr>
          <w:rFonts w:ascii="Calibri" w:hAnsi="Calibri"/>
          <w:sz w:val="22"/>
          <w:szCs w:val="22"/>
        </w:rPr>
      </w:pPr>
      <w:r w:rsidRPr="008F013B">
        <w:rPr>
          <w:rFonts w:ascii="Calibri" w:hAnsi="Calibri"/>
          <w:sz w:val="22"/>
          <w:szCs w:val="22"/>
        </w:rPr>
        <w:t>La communication sur le "Green Deal", le paquet "Fit for 55" et le cadre de gouvernance économique réformé de l'UE définissent un contexte politique ambitieux pour lutter contre le changement climatique, en soulignant la nécessité d'aligner les finances publiques sur les objectifs en matière de climat et d'environnement. La budgétisation verte est essentielle pour atteindre ces objectifs.</w:t>
      </w:r>
    </w:p>
    <w:p w14:paraId="42FB2CF7" w14:textId="77777777" w:rsidR="008F013B" w:rsidRPr="008F013B" w:rsidRDefault="008F013B" w:rsidP="008F013B">
      <w:pPr>
        <w:jc w:val="both"/>
        <w:rPr>
          <w:rFonts w:ascii="Calibri" w:hAnsi="Calibri"/>
          <w:sz w:val="22"/>
          <w:szCs w:val="22"/>
        </w:rPr>
      </w:pPr>
      <w:r w:rsidRPr="008F013B">
        <w:rPr>
          <w:rFonts w:ascii="Calibri" w:hAnsi="Calibri"/>
          <w:sz w:val="22"/>
          <w:szCs w:val="22"/>
        </w:rPr>
        <w:t>Entre 2021 et 2024, la Commission a mis en œuvre le programme de formation à la budgétisation verte, un projet d'appui technique multi-pays dans le cadre de l'instrument d'appui technique (IAT). Ce programme, basé sur le cadre de référence de la budgétisation verte de l'Union européenne, a permis de renforcer les capacités de 23 États membres en matière de budgétisation verte. Il se compose de quatre modules couvrant les principes fondamentaux, les méthodologies de marquage, les évaluations de l'impact environnemental et les échanges entre pairs. Le programme :</w:t>
      </w:r>
    </w:p>
    <w:p w14:paraId="38F8D6CC" w14:textId="2CEBFC2A" w:rsidR="008F013B" w:rsidRPr="008F013B" w:rsidRDefault="008F013B" w:rsidP="008F013B">
      <w:pPr>
        <w:pStyle w:val="Paragraphedeliste"/>
        <w:numPr>
          <w:ilvl w:val="0"/>
          <w:numId w:val="8"/>
        </w:numPr>
        <w:jc w:val="both"/>
        <w:rPr>
          <w:rFonts w:ascii="Calibri" w:hAnsi="Calibri"/>
          <w:sz w:val="22"/>
          <w:szCs w:val="22"/>
        </w:rPr>
      </w:pPr>
      <w:r w:rsidRPr="008F013B">
        <w:rPr>
          <w:rFonts w:ascii="Calibri" w:hAnsi="Calibri"/>
          <w:sz w:val="22"/>
          <w:szCs w:val="22"/>
        </w:rPr>
        <w:t>a formé environ 1 200 participants</w:t>
      </w:r>
    </w:p>
    <w:p w14:paraId="549D6355" w14:textId="77777777" w:rsidR="008F013B" w:rsidRDefault="008F013B" w:rsidP="008F013B">
      <w:pPr>
        <w:pStyle w:val="Paragraphedeliste"/>
        <w:numPr>
          <w:ilvl w:val="0"/>
          <w:numId w:val="8"/>
        </w:numPr>
        <w:jc w:val="both"/>
        <w:rPr>
          <w:rFonts w:ascii="Calibri" w:hAnsi="Calibri"/>
          <w:sz w:val="22"/>
          <w:szCs w:val="22"/>
        </w:rPr>
      </w:pPr>
      <w:r w:rsidRPr="008F013B">
        <w:rPr>
          <w:rFonts w:ascii="Calibri" w:hAnsi="Calibri"/>
          <w:sz w:val="22"/>
          <w:szCs w:val="22"/>
        </w:rPr>
        <w:t>a permis aux États membres de développer et de mettre en œuvre des cadres de budgétisation verte au niveau national.</w:t>
      </w:r>
    </w:p>
    <w:p w14:paraId="5BDC986F" w14:textId="49DE8192" w:rsidR="00CB7AA1" w:rsidRDefault="008F013B" w:rsidP="008F013B">
      <w:pPr>
        <w:pStyle w:val="Paragraphedeliste"/>
        <w:numPr>
          <w:ilvl w:val="0"/>
          <w:numId w:val="8"/>
        </w:numPr>
        <w:jc w:val="both"/>
        <w:rPr>
          <w:rFonts w:ascii="Calibri" w:hAnsi="Calibri"/>
          <w:sz w:val="22"/>
          <w:szCs w:val="22"/>
        </w:rPr>
      </w:pPr>
      <w:r w:rsidRPr="008F013B">
        <w:rPr>
          <w:rFonts w:ascii="Calibri" w:hAnsi="Calibri"/>
          <w:sz w:val="22"/>
          <w:szCs w:val="22"/>
        </w:rPr>
        <w:t>a favorisé la collaboration transfrontalière et créé une communauté de praticiens de la budgétisation verte parmi les fonctionnaires de l'UE.</w:t>
      </w:r>
    </w:p>
    <w:p w14:paraId="781DA5D0" w14:textId="67D9053E" w:rsidR="008F013B" w:rsidRDefault="008F013B" w:rsidP="008F013B">
      <w:pPr>
        <w:jc w:val="both"/>
        <w:rPr>
          <w:rFonts w:ascii="Calibri" w:hAnsi="Calibri"/>
          <w:sz w:val="22"/>
          <w:szCs w:val="22"/>
        </w:rPr>
      </w:pPr>
    </w:p>
    <w:p w14:paraId="37467DF7" w14:textId="77777777" w:rsidR="00536DB7" w:rsidRPr="00536DB7" w:rsidRDefault="00536DB7" w:rsidP="00536DB7">
      <w:pPr>
        <w:jc w:val="both"/>
        <w:rPr>
          <w:rFonts w:ascii="Calibri" w:hAnsi="Calibri"/>
          <w:b/>
          <w:sz w:val="22"/>
          <w:szCs w:val="22"/>
        </w:rPr>
      </w:pPr>
      <w:r w:rsidRPr="00536DB7">
        <w:rPr>
          <w:rFonts w:ascii="Calibri" w:hAnsi="Calibri"/>
          <w:b/>
          <w:sz w:val="22"/>
          <w:szCs w:val="22"/>
        </w:rPr>
        <w:t>Mise en œuvre de pratiques efficaces en matière de budgétisation verte</w:t>
      </w:r>
    </w:p>
    <w:p w14:paraId="265B3065" w14:textId="77777777" w:rsidR="00536DB7" w:rsidRPr="00536DB7" w:rsidRDefault="00536DB7" w:rsidP="00536DB7">
      <w:pPr>
        <w:jc w:val="both"/>
        <w:rPr>
          <w:rFonts w:ascii="Calibri" w:hAnsi="Calibri"/>
          <w:sz w:val="22"/>
          <w:szCs w:val="22"/>
        </w:rPr>
      </w:pPr>
    </w:p>
    <w:p w14:paraId="135C46FF" w14:textId="77777777" w:rsidR="00536DB7" w:rsidRPr="00536DB7" w:rsidRDefault="00536DB7" w:rsidP="00536DB7">
      <w:pPr>
        <w:jc w:val="both"/>
        <w:rPr>
          <w:rFonts w:ascii="Calibri" w:hAnsi="Calibri"/>
          <w:sz w:val="22"/>
          <w:szCs w:val="22"/>
        </w:rPr>
      </w:pPr>
      <w:r w:rsidRPr="00536DB7">
        <w:rPr>
          <w:rFonts w:ascii="Calibri" w:hAnsi="Calibri"/>
          <w:sz w:val="22"/>
          <w:szCs w:val="22"/>
        </w:rPr>
        <w:t>Ces besoins en matière d'assistance technique seront pris en compte dans le cadre de ce nouveau projet visant à mettre en œuvre des pratiques efficaces en matière de budgétisation verte. Les autorités bénéficiaires sont confrontées à des défis uniques dans la mise en œuvre de pratiques de budgétisation verte. Chaque pays a ses propres défis spécifiques, tels que l'élaboration de méthodologies de marquage, l'institutionnalisation de la budgétisation verte et l'intégration des évaluations d'impact environnemental dans les processus budgétaires. Malgré les progrès réalisés, chaque pays a besoin d'un soutien technique pour combler les lacunes en matière de capacités, de gouvernance et de gestion des données, et pour affiner les méthodologies d'identification et de catégorisation des dépenses vertes. Les pays bénéficieront de cette action grâce à un soutien sur mesure ainsi qu'à des activités communes visant à partager les expériences, à développer et à renforcer les méthodologies et à favoriser la collaboration transfrontalière.</w:t>
      </w:r>
    </w:p>
    <w:p w14:paraId="561C4FDF" w14:textId="77777777" w:rsidR="00536DB7" w:rsidRPr="00536DB7" w:rsidRDefault="00536DB7" w:rsidP="00536DB7">
      <w:pPr>
        <w:jc w:val="both"/>
        <w:rPr>
          <w:rFonts w:ascii="Calibri" w:hAnsi="Calibri"/>
          <w:sz w:val="22"/>
          <w:szCs w:val="22"/>
        </w:rPr>
      </w:pPr>
    </w:p>
    <w:p w14:paraId="1730F070" w14:textId="77777777" w:rsidR="00536DB7" w:rsidRPr="00536DB7" w:rsidRDefault="00536DB7" w:rsidP="00536DB7">
      <w:pPr>
        <w:jc w:val="both"/>
        <w:rPr>
          <w:rFonts w:ascii="Calibri" w:hAnsi="Calibri"/>
          <w:sz w:val="22"/>
          <w:szCs w:val="22"/>
        </w:rPr>
      </w:pPr>
      <w:r w:rsidRPr="00536DB7">
        <w:rPr>
          <w:rFonts w:ascii="Calibri" w:hAnsi="Calibri"/>
          <w:sz w:val="22"/>
          <w:szCs w:val="22"/>
        </w:rPr>
        <w:t xml:space="preserve">La Croatie, la République tchèque, Chypre, le Danemark, la France, l'Irlande, le Portugal, la Slovaquie, la Slovénie et l'Espagne ont sollicité l'aide de la Commission européenne au titre du règlement (UE) 2021/240 instituant un instrument d'assistance technique (« règlement IAT »). La demande d'assistance technique a été évaluée par la Commission européenne conformément aux critères et principes visés à l'article 9 du règlement IAT et a été sélectionnée pour bénéficier d'un financement. </w:t>
      </w:r>
    </w:p>
    <w:p w14:paraId="4B84A4AC" w14:textId="77777777" w:rsidR="00536DB7" w:rsidRPr="00536DB7" w:rsidRDefault="00536DB7" w:rsidP="00536DB7">
      <w:pPr>
        <w:jc w:val="both"/>
        <w:rPr>
          <w:rFonts w:ascii="Calibri" w:hAnsi="Calibri"/>
          <w:sz w:val="22"/>
          <w:szCs w:val="22"/>
        </w:rPr>
      </w:pPr>
    </w:p>
    <w:p w14:paraId="3AAE25DD" w14:textId="77777777" w:rsidR="00536DB7" w:rsidRPr="00536DB7" w:rsidRDefault="00536DB7" w:rsidP="00536DB7">
      <w:pPr>
        <w:jc w:val="both"/>
        <w:rPr>
          <w:rFonts w:ascii="Calibri" w:hAnsi="Calibri"/>
          <w:sz w:val="22"/>
          <w:szCs w:val="22"/>
        </w:rPr>
      </w:pPr>
      <w:r w:rsidRPr="00536DB7">
        <w:rPr>
          <w:rFonts w:ascii="Calibri" w:hAnsi="Calibri"/>
          <w:sz w:val="22"/>
          <w:szCs w:val="22"/>
        </w:rPr>
        <w:t>Les autorités nationales qui ont demandé une assistance technique et qui bénéficieront de ce projet sont les suivantes :</w:t>
      </w:r>
    </w:p>
    <w:p w14:paraId="45EF5EC9" w14:textId="53256B5C"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Ministère des finances de la République de Croatie (Ministarstvo financija)</w:t>
      </w:r>
    </w:p>
    <w:p w14:paraId="0B141426" w14:textId="6FFCC3B4"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Ministère des finances de Chypre</w:t>
      </w:r>
    </w:p>
    <w:p w14:paraId="1C55A217" w14:textId="55702283"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lastRenderedPageBreak/>
        <w:t>Ministère des finances de la République tchèque (Ministerstvo financí České republiky)</w:t>
      </w:r>
    </w:p>
    <w:p w14:paraId="1C380D3F" w14:textId="4A9E7F7F"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Ministère des finances du Danemark (Finansministeriet)</w:t>
      </w:r>
    </w:p>
    <w:p w14:paraId="2D60E8E7" w14:textId="190EFD08"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Direction générale des finances publiques et Direction du budget, ministère de l'Économie, des Finances et de la Souveraineté industrielle et numérique (Direction Générale des Finances Publiques (DGFiP) et Direction du Budget (Ministère de l'Économie, des Finances et de l'Industrie)</w:t>
      </w:r>
    </w:p>
    <w:p w14:paraId="79D3B68A" w14:textId="08E8FDE1"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Département des dépenses publiques et de la réforme, Département des finances de l'Irlande (An Roinn Caiteachais Phoiblí, Bonneagair, Seirbhísí Poiblí, Athchóirithe agus Digiteachaithe)</w:t>
      </w:r>
    </w:p>
    <w:p w14:paraId="4A0EB70E" w14:textId="48361E22"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Bureau de la politique économique et des affaires internationales, Ministère des finances (Gabinete de Planeamento, Estratégia, Avaliação e Relações Internacionais (GPEARI) – Ministério das Finanças)</w:t>
      </w:r>
    </w:p>
    <w:p w14:paraId="319175B8" w14:textId="41B02E16"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Ministère de l'Environnement de Slovaquie (Ministerstvo životného prostredia Slovenskej republiky)</w:t>
      </w:r>
    </w:p>
    <w:p w14:paraId="345DE152" w14:textId="347907E0"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Ministère des Finances de Slovénie (Ministrstvo za finance)</w:t>
      </w:r>
    </w:p>
    <w:p w14:paraId="1099D997" w14:textId="52B3C4CF" w:rsidR="00536DB7" w:rsidRPr="00536DB7" w:rsidRDefault="00536DB7" w:rsidP="00536DB7">
      <w:pPr>
        <w:pStyle w:val="Paragraphedeliste"/>
        <w:numPr>
          <w:ilvl w:val="0"/>
          <w:numId w:val="10"/>
        </w:numPr>
        <w:jc w:val="both"/>
        <w:rPr>
          <w:rFonts w:ascii="Calibri" w:hAnsi="Calibri"/>
          <w:sz w:val="22"/>
          <w:szCs w:val="22"/>
        </w:rPr>
      </w:pPr>
      <w:r w:rsidRPr="00536DB7">
        <w:rPr>
          <w:rFonts w:ascii="Calibri" w:hAnsi="Calibri"/>
          <w:sz w:val="22"/>
          <w:szCs w:val="22"/>
        </w:rPr>
        <w:t>Ministère de la Transition écologique et du Défi démographique d'Espagne (Ministerio para la Transición Ecológica y el Reto Demográfico)</w:t>
      </w:r>
    </w:p>
    <w:p w14:paraId="793D1E50" w14:textId="77777777" w:rsidR="00536DB7" w:rsidRPr="00536DB7" w:rsidRDefault="00536DB7" w:rsidP="00536DB7">
      <w:pPr>
        <w:jc w:val="both"/>
        <w:rPr>
          <w:rFonts w:ascii="Calibri" w:hAnsi="Calibri"/>
          <w:sz w:val="22"/>
          <w:szCs w:val="22"/>
        </w:rPr>
      </w:pPr>
    </w:p>
    <w:p w14:paraId="47A1120A" w14:textId="77777777" w:rsidR="008F013B" w:rsidRPr="008F013B" w:rsidRDefault="008F013B" w:rsidP="008F013B">
      <w:pPr>
        <w:jc w:val="both"/>
        <w:rPr>
          <w:rFonts w:ascii="Calibri" w:hAnsi="Calibri"/>
          <w:sz w:val="22"/>
          <w:szCs w:val="22"/>
        </w:rPr>
      </w:pPr>
    </w:p>
    <w:p w14:paraId="793D141E" w14:textId="77777777" w:rsidR="008F013B" w:rsidRPr="008F013B" w:rsidRDefault="008F013B" w:rsidP="008F013B">
      <w:pPr>
        <w:jc w:val="both"/>
        <w:rPr>
          <w:rFonts w:cs="Calibri"/>
        </w:rPr>
      </w:pPr>
    </w:p>
    <w:p w14:paraId="38D0CCF7" w14:textId="77777777" w:rsidR="001D27F6" w:rsidRPr="00D15F32" w:rsidRDefault="00965444"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D53F620" w14:textId="77777777" w:rsidR="001D27F6" w:rsidRPr="00D15F32" w:rsidRDefault="001D27F6" w:rsidP="00C85939">
      <w:pPr>
        <w:jc w:val="both"/>
        <w:rPr>
          <w:rFonts w:ascii="Calibri" w:hAnsi="Calibri"/>
          <w:sz w:val="22"/>
          <w:szCs w:val="22"/>
        </w:rPr>
      </w:pPr>
    </w:p>
    <w:p w14:paraId="5915EDA9" w14:textId="3AEBBDC1" w:rsidR="00475709" w:rsidRPr="00D15F32" w:rsidRDefault="001D27F6" w:rsidP="008F013B">
      <w:pPr>
        <w:numPr>
          <w:ilvl w:val="1"/>
          <w:numId w:val="2"/>
        </w:numPr>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 général</w:t>
      </w:r>
      <w:r w:rsidR="0076595C" w:rsidRPr="00D15F32">
        <w:rPr>
          <w:rFonts w:ascii="Calibri" w:eastAsia="Arial Unicode MS" w:hAnsi="Calibri" w:cs="Arial Unicode MS"/>
          <w:b/>
          <w:sz w:val="22"/>
          <w:szCs w:val="22"/>
          <w:lang w:eastAsia="en-US"/>
        </w:rPr>
        <w:t xml:space="preserve"> </w:t>
      </w:r>
    </w:p>
    <w:p w14:paraId="394B4389" w14:textId="77777777" w:rsidR="009236DE" w:rsidRDefault="009236DE" w:rsidP="009236DE">
      <w:pPr>
        <w:jc w:val="both"/>
        <w:rPr>
          <w:rFonts w:ascii="Calibri" w:hAnsi="Calibri"/>
          <w:sz w:val="22"/>
          <w:szCs w:val="22"/>
        </w:rPr>
      </w:pPr>
    </w:p>
    <w:p w14:paraId="7E4565CF" w14:textId="77777777" w:rsidR="00536DB7" w:rsidRDefault="009236DE" w:rsidP="009236DE">
      <w:pPr>
        <w:jc w:val="both"/>
        <w:rPr>
          <w:rFonts w:ascii="Calibri" w:hAnsi="Calibri"/>
          <w:sz w:val="22"/>
          <w:szCs w:val="22"/>
        </w:rPr>
      </w:pPr>
      <w:r w:rsidRPr="00C96EB6">
        <w:rPr>
          <w:rFonts w:ascii="Calibri" w:hAnsi="Calibri"/>
          <w:sz w:val="22"/>
          <w:szCs w:val="22"/>
        </w:rPr>
        <w:t>La mission a pour objectif d</w:t>
      </w:r>
      <w:r w:rsidR="00AC0DEF" w:rsidRPr="00C96EB6">
        <w:rPr>
          <w:rFonts w:ascii="Calibri" w:hAnsi="Calibri"/>
          <w:sz w:val="22"/>
          <w:szCs w:val="22"/>
        </w:rPr>
        <w:t xml:space="preserve">e </w:t>
      </w:r>
      <w:r w:rsidR="00536DB7">
        <w:rPr>
          <w:rFonts w:ascii="Calibri" w:hAnsi="Calibri"/>
          <w:sz w:val="22"/>
          <w:szCs w:val="22"/>
        </w:rPr>
        <w:t xml:space="preserve">d’apporter un </w:t>
      </w:r>
      <w:r w:rsidR="00536DB7" w:rsidRPr="00536DB7">
        <w:rPr>
          <w:rFonts w:ascii="Calibri" w:hAnsi="Calibri"/>
          <w:sz w:val="22"/>
          <w:szCs w:val="22"/>
        </w:rPr>
        <w:t xml:space="preserve">soutien technique personnalisé pour la mise en œuvre des pratiques de budgétisation verte en France (au niveau infranational). </w:t>
      </w:r>
    </w:p>
    <w:p w14:paraId="6862A7C3" w14:textId="404A5255" w:rsidR="00536DB7" w:rsidRPr="00C96EB6" w:rsidRDefault="00536DB7" w:rsidP="009236DE">
      <w:pPr>
        <w:jc w:val="both"/>
        <w:rPr>
          <w:rFonts w:ascii="Calibri" w:hAnsi="Calibri"/>
          <w:sz w:val="22"/>
          <w:szCs w:val="22"/>
        </w:rPr>
      </w:pPr>
      <w:r w:rsidRPr="00536DB7">
        <w:rPr>
          <w:rFonts w:ascii="Calibri" w:hAnsi="Calibri"/>
          <w:sz w:val="22"/>
          <w:szCs w:val="22"/>
        </w:rPr>
        <w:t>L'aide comprend le développement de méthodologies pour étiqueter les dépenses liées au climat, l'amélioration des cadres de gouvernance et le renforcement des capacités au sein des ministères nationaux.</w:t>
      </w:r>
    </w:p>
    <w:p w14:paraId="75A619EB" w14:textId="77777777" w:rsidR="00475709" w:rsidRPr="00D15F32" w:rsidRDefault="00475709" w:rsidP="00C85939">
      <w:pPr>
        <w:tabs>
          <w:tab w:val="num" w:pos="900"/>
        </w:tabs>
        <w:ind w:left="900" w:hanging="360"/>
        <w:jc w:val="both"/>
        <w:rPr>
          <w:rFonts w:ascii="Calibri" w:hAnsi="Calibri"/>
          <w:sz w:val="22"/>
          <w:szCs w:val="22"/>
        </w:rPr>
      </w:pPr>
    </w:p>
    <w:p w14:paraId="003D337A" w14:textId="77777777" w:rsidR="001D27F6" w:rsidRPr="00D15F32" w:rsidRDefault="001D27F6" w:rsidP="008F013B">
      <w:pPr>
        <w:numPr>
          <w:ilvl w:val="1"/>
          <w:numId w:val="2"/>
        </w:numPr>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w:t>
      </w:r>
      <w:r w:rsidR="004F0DD7">
        <w:rPr>
          <w:rFonts w:ascii="Calibri" w:eastAsia="Arial Unicode MS" w:hAnsi="Calibri" w:cs="Arial Unicode MS"/>
          <w:b/>
          <w:sz w:val="22"/>
          <w:szCs w:val="22"/>
          <w:lang w:eastAsia="en-US"/>
        </w:rPr>
        <w:t>s</w:t>
      </w:r>
      <w:r w:rsidRPr="00D15F32">
        <w:rPr>
          <w:rFonts w:ascii="Calibri" w:eastAsia="Arial Unicode MS" w:hAnsi="Calibri" w:cs="Arial Unicode MS"/>
          <w:b/>
          <w:sz w:val="22"/>
          <w:szCs w:val="22"/>
          <w:lang w:eastAsia="en-US"/>
        </w:rPr>
        <w:t xml:space="preserve"> spécifique</w:t>
      </w:r>
      <w:r w:rsidR="004F0DD7">
        <w:rPr>
          <w:rFonts w:ascii="Calibri" w:eastAsia="Arial Unicode MS" w:hAnsi="Calibri" w:cs="Arial Unicode MS"/>
          <w:b/>
          <w:sz w:val="22"/>
          <w:szCs w:val="22"/>
          <w:lang w:eastAsia="en-US"/>
        </w:rPr>
        <w:t>s</w:t>
      </w:r>
    </w:p>
    <w:p w14:paraId="46EC8066" w14:textId="77777777" w:rsidR="00CB7AA1" w:rsidRDefault="00CB7AA1" w:rsidP="00C85939">
      <w:pPr>
        <w:jc w:val="both"/>
        <w:rPr>
          <w:rFonts w:cs="Calibri"/>
        </w:rPr>
      </w:pPr>
    </w:p>
    <w:p w14:paraId="70428A63" w14:textId="6C02240D" w:rsidR="00475709" w:rsidRDefault="00475709" w:rsidP="00C85939">
      <w:pPr>
        <w:jc w:val="both"/>
        <w:rPr>
          <w:rFonts w:ascii="Calibri" w:hAnsi="Calibri"/>
          <w:sz w:val="22"/>
          <w:szCs w:val="22"/>
        </w:rPr>
      </w:pPr>
    </w:p>
    <w:p w14:paraId="2DFE5450" w14:textId="77777777" w:rsidR="00536DB7" w:rsidRPr="00E852A6" w:rsidRDefault="00536DB7" w:rsidP="00536DB7">
      <w:pPr>
        <w:pStyle w:val="Paragraphedeliste2"/>
        <w:spacing w:after="200" w:line="276" w:lineRule="auto"/>
        <w:ind w:left="0"/>
        <w:contextualSpacing/>
        <w:jc w:val="both"/>
        <w:rPr>
          <w:rFonts w:ascii="Calibri" w:hAnsi="Calibri"/>
          <w:sz w:val="22"/>
          <w:szCs w:val="22"/>
        </w:rPr>
      </w:pPr>
      <w:r w:rsidRPr="00E852A6">
        <w:rPr>
          <w:rFonts w:ascii="Calibri" w:hAnsi="Calibri"/>
          <w:sz w:val="22"/>
          <w:szCs w:val="22"/>
        </w:rPr>
        <w:t>Dans le cadre du projet Implementing Effective Green Budgeting practices, Expertise France recrute un expert en économie de l'environnement et du climat ou en budgétisation verte, ayant une forte connaissance de la transition écologique en France et des législations liées aux pratiques de budgétisation verte, ainsi qu'une expérience/connaissance des derniers développements politiques au niveau de l'UE, à savoir Do No Significant Harm, les développements en matière de budgétisation verte au niveau de l'UE.</w:t>
      </w:r>
    </w:p>
    <w:p w14:paraId="10F552AA" w14:textId="77777777" w:rsidR="00536DB7" w:rsidRPr="00E852A6" w:rsidRDefault="00536DB7" w:rsidP="00536DB7">
      <w:pPr>
        <w:pStyle w:val="Paragraphedeliste2"/>
        <w:spacing w:after="200" w:line="276" w:lineRule="auto"/>
        <w:ind w:left="0"/>
        <w:contextualSpacing/>
        <w:jc w:val="both"/>
        <w:rPr>
          <w:rFonts w:ascii="Calibri" w:hAnsi="Calibri"/>
          <w:sz w:val="22"/>
          <w:szCs w:val="22"/>
        </w:rPr>
      </w:pPr>
    </w:p>
    <w:p w14:paraId="2E70EFD1" w14:textId="77777777" w:rsidR="00536DB7" w:rsidRPr="00E852A6" w:rsidRDefault="00536DB7" w:rsidP="00536DB7">
      <w:pPr>
        <w:pStyle w:val="Paragraphedeliste2"/>
        <w:spacing w:after="200" w:line="276" w:lineRule="auto"/>
        <w:ind w:left="0"/>
        <w:contextualSpacing/>
        <w:jc w:val="both"/>
        <w:rPr>
          <w:rFonts w:ascii="Calibri" w:hAnsi="Calibri"/>
          <w:sz w:val="22"/>
          <w:szCs w:val="22"/>
        </w:rPr>
      </w:pPr>
      <w:r w:rsidRPr="00E852A6">
        <w:rPr>
          <w:rFonts w:ascii="Calibri" w:hAnsi="Calibri"/>
          <w:sz w:val="22"/>
          <w:szCs w:val="22"/>
        </w:rPr>
        <w:t>L'expert fournira un soutien technique aux fonctionnaires du ministère des finances et de l'économie (DGFiP et direction du budget), et à la direction générale des municipalités locales avec : le déploiement de la méthodologie de marquage pour les autorités locales, la fourniture de recommandations sur mesure pour une mise en œuvre efficace et le reporting de la méthodologie, ainsi que pour améliorer la coordination entre les institutions locales et nationales impliquées dans les pratiques de budgétisation verte, et la fourniture d'une formation sur mesure sur les méthodes de budgétisation verte au niveau infranational.</w:t>
      </w:r>
    </w:p>
    <w:p w14:paraId="3DACF746" w14:textId="77777777" w:rsidR="00536DB7" w:rsidRDefault="00536DB7" w:rsidP="00536DB7">
      <w:pPr>
        <w:pStyle w:val="Paragraphedeliste2"/>
        <w:spacing w:after="200" w:line="276" w:lineRule="auto"/>
        <w:ind w:left="0"/>
        <w:contextualSpacing/>
        <w:jc w:val="both"/>
        <w:rPr>
          <w:rFonts w:ascii="Calibri" w:hAnsi="Calibri"/>
          <w:sz w:val="22"/>
          <w:szCs w:val="22"/>
        </w:rPr>
      </w:pPr>
      <w:r w:rsidRPr="00E852A6">
        <w:rPr>
          <w:rFonts w:ascii="Calibri" w:hAnsi="Calibri"/>
          <w:sz w:val="22"/>
          <w:szCs w:val="22"/>
        </w:rPr>
        <w:lastRenderedPageBreak/>
        <w:t>Le(s) expert(s) collaborera(ont) avec des fonctionnaires du Ministère des Finances et des points focaux des ministères concernés, ainsi qu'avec l'équipe de gestion de projet d'Expertise France, des responsables politiques de la Task Force pour la Réforme et l'Investissement (SG REFORM), et des experts techniques du Centre Commun de Recherche (CCR) de la Commission européenne.</w:t>
      </w:r>
    </w:p>
    <w:p w14:paraId="292E071C" w14:textId="77777777" w:rsidR="00536DB7" w:rsidRDefault="00536DB7" w:rsidP="00C85939">
      <w:pPr>
        <w:jc w:val="both"/>
        <w:rPr>
          <w:rFonts w:ascii="Calibri" w:hAnsi="Calibri"/>
          <w:sz w:val="22"/>
          <w:szCs w:val="22"/>
        </w:rPr>
      </w:pPr>
    </w:p>
    <w:p w14:paraId="43C3EFA0" w14:textId="77777777" w:rsidR="00965444" w:rsidRDefault="00965444" w:rsidP="008F013B">
      <w:pPr>
        <w:numPr>
          <w:ilvl w:val="1"/>
          <w:numId w:val="2"/>
        </w:numPr>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Résultats à atteindre</w:t>
      </w:r>
    </w:p>
    <w:p w14:paraId="4ECCAA1C" w14:textId="77777777" w:rsidR="00965444" w:rsidRDefault="00965444" w:rsidP="00C85939">
      <w:pPr>
        <w:jc w:val="both"/>
        <w:rPr>
          <w:rFonts w:ascii="Calibri" w:hAnsi="Calibri"/>
          <w:sz w:val="22"/>
          <w:szCs w:val="22"/>
        </w:rPr>
      </w:pPr>
    </w:p>
    <w:p w14:paraId="7EB79EF0" w14:textId="74DB8986" w:rsidR="00965444" w:rsidRDefault="00536DB7" w:rsidP="00C85939">
      <w:pPr>
        <w:jc w:val="both"/>
        <w:rPr>
          <w:rFonts w:ascii="Calibri" w:hAnsi="Calibri"/>
          <w:sz w:val="22"/>
          <w:szCs w:val="22"/>
        </w:rPr>
      </w:pPr>
      <w:r w:rsidRPr="00536DB7">
        <w:rPr>
          <w:rFonts w:ascii="Calibri" w:hAnsi="Calibri"/>
          <w:sz w:val="22"/>
          <w:szCs w:val="22"/>
        </w:rPr>
        <w:t>Les administrations bénéficiaires renforcent leurs capacités de suivi et d'établissement de rapports sur les dépenses vertes grâce à des conseils méthodologiques.</w:t>
      </w:r>
    </w:p>
    <w:p w14:paraId="4411F32C" w14:textId="77777777" w:rsidR="00536DB7" w:rsidRDefault="00536DB7" w:rsidP="00C85939">
      <w:pPr>
        <w:jc w:val="both"/>
        <w:rPr>
          <w:rFonts w:ascii="Calibri" w:hAnsi="Calibri"/>
          <w:sz w:val="22"/>
          <w:szCs w:val="22"/>
        </w:rPr>
      </w:pPr>
    </w:p>
    <w:p w14:paraId="655954D9" w14:textId="77777777" w:rsidR="00AF63C1" w:rsidRDefault="00AF63C1" w:rsidP="00C85939">
      <w:pPr>
        <w:jc w:val="both"/>
        <w:rPr>
          <w:rFonts w:ascii="Calibri" w:hAnsi="Calibri"/>
          <w:sz w:val="22"/>
          <w:szCs w:val="22"/>
        </w:rPr>
      </w:pPr>
    </w:p>
    <w:p w14:paraId="2F18E5D2" w14:textId="77777777" w:rsidR="00965444" w:rsidRPr="00D15F32" w:rsidRDefault="00965444"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69356CB9" w14:textId="77777777" w:rsidR="00965444" w:rsidRPr="00D15F32" w:rsidRDefault="00965444" w:rsidP="00C85939">
      <w:pPr>
        <w:jc w:val="both"/>
        <w:rPr>
          <w:rFonts w:ascii="Calibri" w:hAnsi="Calibri"/>
          <w:sz w:val="22"/>
          <w:szCs w:val="22"/>
        </w:rPr>
      </w:pPr>
    </w:p>
    <w:p w14:paraId="4198E154" w14:textId="77777777" w:rsidR="001D27F6" w:rsidRPr="00D15F32" w:rsidRDefault="00965444" w:rsidP="008F013B">
      <w:pPr>
        <w:numPr>
          <w:ilvl w:val="1"/>
          <w:numId w:val="2"/>
        </w:numPr>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Activités prévues</w:t>
      </w:r>
    </w:p>
    <w:p w14:paraId="2109317A" w14:textId="77777777" w:rsidR="00475709" w:rsidRPr="00D15F32" w:rsidRDefault="00475709" w:rsidP="00C85939">
      <w:pPr>
        <w:tabs>
          <w:tab w:val="num" w:pos="900"/>
        </w:tabs>
        <w:ind w:left="900" w:hanging="360"/>
        <w:jc w:val="both"/>
        <w:rPr>
          <w:rFonts w:ascii="Calibri" w:hAnsi="Calibri"/>
          <w:sz w:val="22"/>
          <w:szCs w:val="22"/>
        </w:rPr>
      </w:pPr>
    </w:p>
    <w:p w14:paraId="78BBE69D" w14:textId="77777777" w:rsidR="00C558B8" w:rsidRPr="00C858E7" w:rsidRDefault="00C558B8" w:rsidP="00C85939">
      <w:pPr>
        <w:jc w:val="both"/>
        <w:rPr>
          <w:rFonts w:ascii="Calibri" w:hAnsi="Calibri" w:cs="Calibri"/>
          <w:i/>
          <w:sz w:val="8"/>
          <w:szCs w:val="8"/>
        </w:rPr>
      </w:pPr>
    </w:p>
    <w:p w14:paraId="02307189" w14:textId="3CD4E69A" w:rsidR="009236DE" w:rsidRDefault="00424388" w:rsidP="00BF1DCD">
      <w:pPr>
        <w:jc w:val="both"/>
        <w:rPr>
          <w:rFonts w:ascii="Calibri" w:hAnsi="Calibri"/>
          <w:sz w:val="22"/>
          <w:szCs w:val="22"/>
        </w:rPr>
      </w:pPr>
      <w:r w:rsidRPr="00424388">
        <w:rPr>
          <w:rFonts w:ascii="Calibri" w:hAnsi="Calibri"/>
          <w:sz w:val="22"/>
          <w:szCs w:val="22"/>
        </w:rPr>
        <w:t>Le calendrier précis des activités sera convenu entre le(s) expert(s) sélectionné(s), les autorités bénéficiaires et l'équipe du projet.</w:t>
      </w:r>
    </w:p>
    <w:p w14:paraId="4E9F721E" w14:textId="081823AC" w:rsidR="00424388" w:rsidRDefault="00424388" w:rsidP="00BF1DCD">
      <w:pPr>
        <w:jc w:val="both"/>
        <w:rPr>
          <w:rFonts w:ascii="Calibri" w:hAnsi="Calibri"/>
          <w:sz w:val="22"/>
          <w:szCs w:val="22"/>
        </w:rPr>
      </w:pPr>
    </w:p>
    <w:tbl>
      <w:tblPr>
        <w:tblW w:w="93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7230"/>
      </w:tblGrid>
      <w:tr w:rsidR="00424388" w:rsidRPr="00424388" w14:paraId="5C92C9AB" w14:textId="77777777" w:rsidTr="009C342A">
        <w:trPr>
          <w:trHeight w:val="940"/>
          <w:jc w:val="center"/>
        </w:trPr>
        <w:tc>
          <w:tcPr>
            <w:tcW w:w="2127" w:type="dxa"/>
            <w:shd w:val="clear" w:color="auto" w:fill="002060"/>
          </w:tcPr>
          <w:p w14:paraId="35CC2E79" w14:textId="0527BB4C" w:rsidR="00424388" w:rsidRPr="00424388" w:rsidRDefault="00424388" w:rsidP="00424388">
            <w:pPr>
              <w:jc w:val="both"/>
              <w:rPr>
                <w:rFonts w:asciiTheme="minorHAnsi" w:hAnsiTheme="minorHAnsi" w:cstheme="minorHAnsi"/>
                <w:b/>
                <w:sz w:val="22"/>
                <w:szCs w:val="22"/>
              </w:rPr>
            </w:pPr>
            <w:r w:rsidRPr="00424388">
              <w:rPr>
                <w:rFonts w:asciiTheme="minorHAnsi" w:hAnsiTheme="minorHAnsi" w:cstheme="minorHAnsi"/>
              </w:rPr>
              <w:t xml:space="preserve">Résultats et calendrier prévisionnel </w:t>
            </w:r>
          </w:p>
        </w:tc>
        <w:tc>
          <w:tcPr>
            <w:tcW w:w="7230" w:type="dxa"/>
            <w:shd w:val="clear" w:color="auto" w:fill="002060"/>
          </w:tcPr>
          <w:p w14:paraId="751FB5EA" w14:textId="6C5FF96C" w:rsidR="00424388" w:rsidRPr="00424388" w:rsidRDefault="00424388" w:rsidP="00424388">
            <w:pPr>
              <w:jc w:val="center"/>
              <w:rPr>
                <w:rFonts w:asciiTheme="minorHAnsi" w:hAnsiTheme="minorHAnsi" w:cstheme="minorHAnsi"/>
                <w:b/>
                <w:sz w:val="22"/>
                <w:szCs w:val="22"/>
              </w:rPr>
            </w:pPr>
            <w:r w:rsidRPr="00424388">
              <w:rPr>
                <w:rFonts w:asciiTheme="minorHAnsi" w:hAnsiTheme="minorHAnsi" w:cstheme="minorHAnsi"/>
              </w:rPr>
              <w:t>Activités</w:t>
            </w:r>
          </w:p>
        </w:tc>
      </w:tr>
      <w:tr w:rsidR="00424388" w:rsidRPr="00424388" w14:paraId="5A2A6F41" w14:textId="77777777" w:rsidTr="009C342A">
        <w:trPr>
          <w:trHeight w:val="517"/>
          <w:jc w:val="center"/>
        </w:trPr>
        <w:tc>
          <w:tcPr>
            <w:tcW w:w="2127" w:type="dxa"/>
          </w:tcPr>
          <w:p w14:paraId="180C1BA8" w14:textId="77777777" w:rsidR="00424388" w:rsidRPr="00424388" w:rsidRDefault="00424388" w:rsidP="00424388">
            <w:pPr>
              <w:jc w:val="both"/>
              <w:rPr>
                <w:rFonts w:ascii="Calibri" w:hAnsi="Calibri"/>
                <w:sz w:val="22"/>
                <w:szCs w:val="22"/>
              </w:rPr>
            </w:pPr>
            <w:r w:rsidRPr="00424388">
              <w:rPr>
                <w:rFonts w:ascii="Calibri" w:hAnsi="Calibri"/>
                <w:sz w:val="22"/>
                <w:szCs w:val="22"/>
              </w:rPr>
              <w:t>Rapport technique de la phase de démarrage</w:t>
            </w:r>
          </w:p>
          <w:p w14:paraId="238DC58A" w14:textId="77777777" w:rsidR="00424388" w:rsidRPr="00424388" w:rsidRDefault="00424388" w:rsidP="00424388">
            <w:pPr>
              <w:jc w:val="both"/>
              <w:rPr>
                <w:rFonts w:ascii="Calibri" w:hAnsi="Calibri"/>
                <w:sz w:val="22"/>
                <w:szCs w:val="22"/>
              </w:rPr>
            </w:pPr>
          </w:p>
          <w:p w14:paraId="1A12396F" w14:textId="10DFF9E1" w:rsidR="00424388" w:rsidRPr="00424388" w:rsidRDefault="00424388" w:rsidP="00424388">
            <w:pPr>
              <w:jc w:val="both"/>
              <w:rPr>
                <w:rFonts w:ascii="Calibri" w:hAnsi="Calibri"/>
                <w:sz w:val="22"/>
                <w:szCs w:val="22"/>
                <w:lang w:val="en-GB"/>
              </w:rPr>
            </w:pPr>
            <w:r w:rsidRPr="00424388">
              <w:rPr>
                <w:rFonts w:ascii="Calibri" w:hAnsi="Calibri"/>
                <w:sz w:val="22"/>
                <w:szCs w:val="22"/>
                <w:lang w:val="en-GB"/>
              </w:rPr>
              <w:t>Juillet - septembre 2025</w:t>
            </w:r>
          </w:p>
        </w:tc>
        <w:tc>
          <w:tcPr>
            <w:tcW w:w="7230" w:type="dxa"/>
          </w:tcPr>
          <w:p w14:paraId="44FC3F22" w14:textId="77777777" w:rsidR="00424388" w:rsidRPr="00424388" w:rsidRDefault="00424388" w:rsidP="00424388">
            <w:pPr>
              <w:jc w:val="both"/>
              <w:rPr>
                <w:rFonts w:ascii="Calibri" w:hAnsi="Calibri"/>
                <w:sz w:val="22"/>
                <w:szCs w:val="22"/>
              </w:rPr>
            </w:pPr>
            <w:r w:rsidRPr="00424388">
              <w:rPr>
                <w:rFonts w:ascii="Calibri" w:hAnsi="Calibri"/>
                <w:sz w:val="22"/>
                <w:szCs w:val="22"/>
              </w:rPr>
              <w:t>Produire un rapport technique par pays dans lequel les analyses et les points d'action spécifiques au pays sont consignés et des recommandations spécifiques sont fournies. Pour produire ce résultat, l'expert désigné entreprendra les activités suivantes :</w:t>
            </w:r>
          </w:p>
          <w:p w14:paraId="1C0EDF15" w14:textId="77777777" w:rsidR="00424388" w:rsidRPr="00424388" w:rsidRDefault="00424388" w:rsidP="00424388">
            <w:pPr>
              <w:jc w:val="both"/>
              <w:rPr>
                <w:rFonts w:ascii="Calibri" w:hAnsi="Calibri"/>
                <w:sz w:val="22"/>
                <w:szCs w:val="22"/>
              </w:rPr>
            </w:pPr>
          </w:p>
          <w:p w14:paraId="0190F968" w14:textId="14D6C0E7" w:rsidR="00424388" w:rsidRPr="00424388" w:rsidRDefault="00424388" w:rsidP="00424388">
            <w:pPr>
              <w:pStyle w:val="Paragraphedeliste"/>
              <w:numPr>
                <w:ilvl w:val="3"/>
                <w:numId w:val="16"/>
              </w:numPr>
              <w:ind w:left="360"/>
              <w:jc w:val="both"/>
              <w:rPr>
                <w:rFonts w:ascii="Calibri" w:hAnsi="Calibri"/>
                <w:sz w:val="22"/>
                <w:szCs w:val="22"/>
              </w:rPr>
            </w:pPr>
            <w:r w:rsidRPr="00424388">
              <w:rPr>
                <w:rFonts w:ascii="Calibri" w:hAnsi="Calibri"/>
                <w:sz w:val="22"/>
                <w:szCs w:val="22"/>
              </w:rPr>
              <w:t>Mener des consultations avec les points focaux de la Direction Générale des Finances Publiques (DGFiP), la Direction du Budget (Ministère de l'Économie, des Finances et de l'Industrie), et la Direction générale des collectivités locales (DGCL) et des recherches documentaires pour comprendre les aspects juridiques et techniques de l'ébauche existante de la méthodologie de marquage pour les autorités locales, soutenir les points focaux dans la planification du déploiement des méthodologies au niveau local,</w:t>
            </w:r>
          </w:p>
          <w:p w14:paraId="31BCB6EA" w14:textId="77777777" w:rsidR="00424388" w:rsidRPr="00424388" w:rsidRDefault="00424388" w:rsidP="00424388">
            <w:pPr>
              <w:jc w:val="both"/>
              <w:rPr>
                <w:rFonts w:ascii="Calibri" w:hAnsi="Calibri"/>
                <w:sz w:val="22"/>
                <w:szCs w:val="22"/>
              </w:rPr>
            </w:pPr>
          </w:p>
          <w:p w14:paraId="2FE4057C" w14:textId="77777777" w:rsidR="00424388" w:rsidRDefault="00424388" w:rsidP="00424388">
            <w:pPr>
              <w:pStyle w:val="Paragraphedeliste"/>
              <w:numPr>
                <w:ilvl w:val="3"/>
                <w:numId w:val="16"/>
              </w:numPr>
              <w:ind w:left="360"/>
              <w:jc w:val="both"/>
              <w:rPr>
                <w:rFonts w:ascii="Calibri" w:hAnsi="Calibri"/>
                <w:sz w:val="22"/>
                <w:szCs w:val="22"/>
              </w:rPr>
            </w:pPr>
            <w:r w:rsidRPr="00424388">
              <w:rPr>
                <w:rFonts w:ascii="Calibri" w:hAnsi="Calibri"/>
                <w:sz w:val="22"/>
                <w:szCs w:val="22"/>
              </w:rPr>
              <w:t>Identifier les lacunes en matière de connaissances et convenir du contenu et des participants clés du programme de formation et d'échange entre pairs.</w:t>
            </w:r>
          </w:p>
          <w:p w14:paraId="4F26B82B" w14:textId="77777777" w:rsidR="00424388" w:rsidRPr="00424388" w:rsidRDefault="00424388" w:rsidP="00424388">
            <w:pPr>
              <w:pStyle w:val="Paragraphedeliste"/>
              <w:rPr>
                <w:rFonts w:ascii="Calibri" w:hAnsi="Calibri"/>
                <w:sz w:val="22"/>
                <w:szCs w:val="22"/>
              </w:rPr>
            </w:pPr>
          </w:p>
          <w:p w14:paraId="0EBF40ED" w14:textId="64F1EB7D" w:rsidR="00424388" w:rsidRPr="00424388" w:rsidRDefault="00424388" w:rsidP="00424388">
            <w:pPr>
              <w:pStyle w:val="Paragraphedeliste"/>
              <w:numPr>
                <w:ilvl w:val="3"/>
                <w:numId w:val="16"/>
              </w:numPr>
              <w:ind w:left="360"/>
              <w:jc w:val="both"/>
              <w:rPr>
                <w:rFonts w:ascii="Calibri" w:hAnsi="Calibri"/>
                <w:sz w:val="22"/>
                <w:szCs w:val="22"/>
              </w:rPr>
            </w:pPr>
            <w:r w:rsidRPr="00424388">
              <w:rPr>
                <w:rFonts w:ascii="Calibri" w:hAnsi="Calibri"/>
                <w:sz w:val="22"/>
                <w:szCs w:val="22"/>
              </w:rPr>
              <w:t>Participer à l'événement de lancement du projet.</w:t>
            </w:r>
          </w:p>
        </w:tc>
      </w:tr>
      <w:tr w:rsidR="00424388" w:rsidRPr="002E411F" w14:paraId="293357AB" w14:textId="77777777" w:rsidTr="009C342A">
        <w:trPr>
          <w:trHeight w:val="602"/>
          <w:jc w:val="center"/>
        </w:trPr>
        <w:tc>
          <w:tcPr>
            <w:tcW w:w="2127" w:type="dxa"/>
          </w:tcPr>
          <w:p w14:paraId="37805E71" w14:textId="77777777" w:rsidR="00424388" w:rsidRPr="00424388" w:rsidRDefault="00424388" w:rsidP="00424388">
            <w:pPr>
              <w:jc w:val="both"/>
              <w:rPr>
                <w:rFonts w:ascii="Calibri" w:hAnsi="Calibri"/>
                <w:sz w:val="22"/>
                <w:szCs w:val="22"/>
              </w:rPr>
            </w:pPr>
            <w:r w:rsidRPr="00424388">
              <w:rPr>
                <w:rFonts w:ascii="Calibri" w:hAnsi="Calibri"/>
                <w:sz w:val="22"/>
                <w:szCs w:val="22"/>
              </w:rPr>
              <w:t>Rapport technique sur le déploiement de la méthodologie de marquage</w:t>
            </w:r>
          </w:p>
          <w:p w14:paraId="52B3F495" w14:textId="77777777" w:rsidR="00424388" w:rsidRPr="00424388" w:rsidRDefault="00424388" w:rsidP="00424388">
            <w:pPr>
              <w:jc w:val="both"/>
              <w:rPr>
                <w:rFonts w:ascii="Calibri" w:hAnsi="Calibri"/>
                <w:sz w:val="22"/>
                <w:szCs w:val="22"/>
              </w:rPr>
            </w:pPr>
          </w:p>
          <w:p w14:paraId="4A7EA2F7" w14:textId="5CBAE8AB" w:rsidR="00424388" w:rsidRPr="00424388" w:rsidRDefault="00424388" w:rsidP="00424388">
            <w:pPr>
              <w:jc w:val="both"/>
              <w:rPr>
                <w:rFonts w:ascii="Calibri" w:hAnsi="Calibri"/>
                <w:sz w:val="22"/>
                <w:szCs w:val="22"/>
                <w:lang w:val="en-GB"/>
              </w:rPr>
            </w:pPr>
            <w:r w:rsidRPr="00424388">
              <w:rPr>
                <w:rFonts w:ascii="Calibri" w:hAnsi="Calibri"/>
                <w:sz w:val="22"/>
                <w:szCs w:val="22"/>
                <w:lang w:val="en-GB"/>
              </w:rPr>
              <w:t>Septembre 2025- juin 2026</w:t>
            </w:r>
          </w:p>
        </w:tc>
        <w:tc>
          <w:tcPr>
            <w:tcW w:w="7230" w:type="dxa"/>
          </w:tcPr>
          <w:p w14:paraId="3B0F997B" w14:textId="5BFF8582" w:rsidR="00424388" w:rsidRPr="00424388" w:rsidRDefault="00424388" w:rsidP="00424388">
            <w:pPr>
              <w:jc w:val="both"/>
              <w:rPr>
                <w:rFonts w:ascii="Calibri" w:hAnsi="Calibri"/>
                <w:sz w:val="22"/>
                <w:szCs w:val="22"/>
              </w:rPr>
            </w:pPr>
            <w:r w:rsidRPr="00424388">
              <w:rPr>
                <w:rFonts w:ascii="Calibri" w:hAnsi="Calibri"/>
                <w:sz w:val="22"/>
                <w:szCs w:val="22"/>
              </w:rPr>
              <w:t xml:space="preserve">Produire un rapport technique comprenant : une vue d'ensemble de la méthodologie (déjà développée par le groupe de travail des autorités nationales et locales françaises), un guide technique pour l'utilisation de la méthodologie, des recommandations sur la collecte de données, la visualisation et le rapport entre les informations sur le budget vert au niveau local et national, et un rapport d'évaluation et de résultats de la mise en œuvre pilote. L'expert technique désigné ou le groupe d'experts mobilisé par Expertise </w:t>
            </w:r>
            <w:r w:rsidRPr="00424388">
              <w:rPr>
                <w:rFonts w:ascii="Calibri" w:hAnsi="Calibri"/>
                <w:sz w:val="22"/>
                <w:szCs w:val="22"/>
              </w:rPr>
              <w:lastRenderedPageBreak/>
              <w:t>France travaillera en étroite coordination avec les représentants concernés de la DGFiP, de la Direction du budget et de la Direction générale des collectivités locales sur les activités suivantes :</w:t>
            </w:r>
          </w:p>
          <w:p w14:paraId="2D13BC56" w14:textId="77777777" w:rsidR="00424388" w:rsidRPr="002E411F" w:rsidRDefault="00424388" w:rsidP="00424388">
            <w:pPr>
              <w:jc w:val="both"/>
              <w:rPr>
                <w:rFonts w:ascii="Calibri" w:hAnsi="Calibri"/>
                <w:sz w:val="22"/>
                <w:szCs w:val="22"/>
              </w:rPr>
            </w:pPr>
          </w:p>
          <w:p w14:paraId="692CFC57" w14:textId="77777777" w:rsidR="00424388" w:rsidRPr="00424388" w:rsidRDefault="00424388" w:rsidP="00424388">
            <w:pPr>
              <w:numPr>
                <w:ilvl w:val="0"/>
                <w:numId w:val="12"/>
              </w:numPr>
              <w:jc w:val="both"/>
              <w:rPr>
                <w:rFonts w:ascii="Calibri" w:hAnsi="Calibri"/>
                <w:sz w:val="22"/>
                <w:szCs w:val="22"/>
                <w:lang w:val="en-GB"/>
              </w:rPr>
            </w:pPr>
            <w:r w:rsidRPr="00424388">
              <w:rPr>
                <w:rFonts w:ascii="Calibri" w:hAnsi="Calibri"/>
                <w:sz w:val="22"/>
                <w:szCs w:val="22"/>
                <w:lang w:val="en-GB"/>
              </w:rPr>
              <w:t>Develop a technical guide for using the methodology (user-friendly documentation with examples and case studies to help local authorities classify green spending and implement the markup)</w:t>
            </w:r>
          </w:p>
          <w:p w14:paraId="7DD99248" w14:textId="77777777" w:rsidR="00424388" w:rsidRPr="00424388" w:rsidRDefault="00424388" w:rsidP="00424388">
            <w:pPr>
              <w:numPr>
                <w:ilvl w:val="0"/>
                <w:numId w:val="12"/>
              </w:numPr>
              <w:jc w:val="both"/>
              <w:rPr>
                <w:rFonts w:ascii="Calibri" w:hAnsi="Calibri"/>
                <w:sz w:val="22"/>
                <w:szCs w:val="22"/>
                <w:lang w:val="en-GB"/>
              </w:rPr>
            </w:pPr>
            <w:r w:rsidRPr="00424388">
              <w:rPr>
                <w:rFonts w:ascii="Calibri" w:hAnsi="Calibri"/>
                <w:sz w:val="22"/>
                <w:szCs w:val="22"/>
                <w:lang w:val="en-GB"/>
              </w:rPr>
              <w:t>Provide recommendations on data collection, visualisation, and reporting between local and state level information on green budgeting</w:t>
            </w:r>
          </w:p>
          <w:p w14:paraId="1ECDDDF4" w14:textId="77777777" w:rsidR="00424388" w:rsidRPr="00424388" w:rsidRDefault="00424388" w:rsidP="00424388">
            <w:pPr>
              <w:numPr>
                <w:ilvl w:val="0"/>
                <w:numId w:val="12"/>
              </w:numPr>
              <w:jc w:val="both"/>
              <w:rPr>
                <w:rFonts w:ascii="Calibri" w:hAnsi="Calibri"/>
                <w:sz w:val="22"/>
                <w:szCs w:val="22"/>
                <w:lang w:val="en-GB"/>
              </w:rPr>
            </w:pPr>
            <w:r w:rsidRPr="00424388">
              <w:rPr>
                <w:rFonts w:ascii="Calibri" w:hAnsi="Calibri"/>
                <w:sz w:val="22"/>
                <w:szCs w:val="22"/>
                <w:lang w:val="en-GB"/>
              </w:rPr>
              <w:t>Apply the tagging methodology to the agreed axes and budget items in key sectors</w:t>
            </w:r>
          </w:p>
          <w:p w14:paraId="5AC88E9D" w14:textId="77777777" w:rsidR="00424388" w:rsidRPr="00424388" w:rsidRDefault="00424388" w:rsidP="00424388">
            <w:pPr>
              <w:numPr>
                <w:ilvl w:val="0"/>
                <w:numId w:val="12"/>
              </w:numPr>
              <w:jc w:val="both"/>
              <w:rPr>
                <w:rFonts w:ascii="Calibri" w:hAnsi="Calibri"/>
                <w:sz w:val="22"/>
                <w:szCs w:val="22"/>
                <w:lang w:val="en-GB"/>
              </w:rPr>
            </w:pPr>
            <w:r w:rsidRPr="00424388">
              <w:rPr>
                <w:rFonts w:ascii="Calibri" w:hAnsi="Calibri"/>
                <w:sz w:val="22"/>
                <w:szCs w:val="22"/>
                <w:lang w:val="en-GB"/>
              </w:rPr>
              <w:t>Evaluate the effectiveness of the pilot</w:t>
            </w:r>
          </w:p>
          <w:p w14:paraId="5B1406FC" w14:textId="0781378D" w:rsidR="00424388" w:rsidRPr="00424388" w:rsidRDefault="00424388" w:rsidP="00424388">
            <w:pPr>
              <w:numPr>
                <w:ilvl w:val="0"/>
                <w:numId w:val="12"/>
              </w:numPr>
              <w:jc w:val="both"/>
              <w:rPr>
                <w:rFonts w:ascii="Calibri" w:hAnsi="Calibri"/>
                <w:sz w:val="22"/>
                <w:szCs w:val="22"/>
                <w:lang w:val="en-GB"/>
              </w:rPr>
            </w:pPr>
            <w:r w:rsidRPr="00424388">
              <w:rPr>
                <w:rFonts w:ascii="Calibri" w:hAnsi="Calibri"/>
                <w:sz w:val="22"/>
                <w:szCs w:val="22"/>
                <w:lang w:val="en-GB"/>
              </w:rPr>
              <w:t>The expert(s) shall collect feedback from stakeholders and provide guidance to improve the methodology and include a comprehensive overview of the tagging results with accessible data visualizations to ensure transparency in presenting findings to policymaker</w:t>
            </w:r>
            <w:r>
              <w:rPr>
                <w:rFonts w:ascii="Calibri" w:hAnsi="Calibri"/>
                <w:sz w:val="22"/>
                <w:szCs w:val="22"/>
                <w:lang w:val="en-GB"/>
              </w:rPr>
              <w:t>.</w:t>
            </w:r>
          </w:p>
          <w:p w14:paraId="418F155D" w14:textId="77777777" w:rsidR="00424388" w:rsidRPr="00424388" w:rsidRDefault="00424388" w:rsidP="00424388">
            <w:pPr>
              <w:jc w:val="both"/>
              <w:rPr>
                <w:rFonts w:ascii="Calibri" w:hAnsi="Calibri"/>
                <w:sz w:val="22"/>
                <w:szCs w:val="22"/>
                <w:lang w:val="en-GB"/>
              </w:rPr>
            </w:pPr>
          </w:p>
        </w:tc>
      </w:tr>
      <w:tr w:rsidR="00424388" w:rsidRPr="00424388" w14:paraId="5931D041" w14:textId="77777777" w:rsidTr="009C342A">
        <w:trPr>
          <w:trHeight w:val="626"/>
          <w:jc w:val="center"/>
        </w:trPr>
        <w:tc>
          <w:tcPr>
            <w:tcW w:w="2127" w:type="dxa"/>
          </w:tcPr>
          <w:p w14:paraId="441F394E" w14:textId="77777777" w:rsidR="00424388" w:rsidRPr="00424388" w:rsidRDefault="00424388" w:rsidP="00424388">
            <w:pPr>
              <w:jc w:val="both"/>
              <w:rPr>
                <w:rFonts w:ascii="Calibri" w:hAnsi="Calibri"/>
                <w:sz w:val="22"/>
                <w:szCs w:val="22"/>
              </w:rPr>
            </w:pPr>
            <w:r w:rsidRPr="00424388">
              <w:rPr>
                <w:rFonts w:ascii="Calibri" w:hAnsi="Calibri"/>
                <w:sz w:val="22"/>
                <w:szCs w:val="22"/>
              </w:rPr>
              <w:lastRenderedPageBreak/>
              <w:t>Rapport et lignes directrices</w:t>
            </w:r>
          </w:p>
          <w:p w14:paraId="7CE63A87" w14:textId="77777777" w:rsidR="00424388" w:rsidRPr="00424388" w:rsidRDefault="00424388" w:rsidP="00424388">
            <w:pPr>
              <w:jc w:val="both"/>
              <w:rPr>
                <w:rFonts w:ascii="Calibri" w:hAnsi="Calibri"/>
                <w:sz w:val="22"/>
                <w:szCs w:val="22"/>
              </w:rPr>
            </w:pPr>
            <w:r w:rsidRPr="00424388">
              <w:rPr>
                <w:rFonts w:ascii="Calibri" w:hAnsi="Calibri"/>
                <w:sz w:val="22"/>
                <w:szCs w:val="22"/>
              </w:rPr>
              <w:t>sur les méthodes de budgétisation verte au niveau local</w:t>
            </w:r>
          </w:p>
          <w:p w14:paraId="27603B0A" w14:textId="77777777" w:rsidR="00424388" w:rsidRPr="00424388" w:rsidRDefault="00424388" w:rsidP="00424388">
            <w:pPr>
              <w:jc w:val="both"/>
              <w:rPr>
                <w:rFonts w:ascii="Calibri" w:hAnsi="Calibri"/>
                <w:sz w:val="22"/>
                <w:szCs w:val="22"/>
              </w:rPr>
            </w:pPr>
          </w:p>
          <w:p w14:paraId="0A3FE2F8" w14:textId="31C5BAFC" w:rsidR="00424388" w:rsidRPr="00424388" w:rsidRDefault="00424388" w:rsidP="00424388">
            <w:pPr>
              <w:jc w:val="both"/>
              <w:rPr>
                <w:rFonts w:ascii="Calibri" w:hAnsi="Calibri"/>
                <w:sz w:val="22"/>
                <w:szCs w:val="22"/>
                <w:lang w:val="en-GB"/>
              </w:rPr>
            </w:pPr>
            <w:r w:rsidRPr="00424388">
              <w:rPr>
                <w:rFonts w:ascii="Calibri" w:hAnsi="Calibri"/>
                <w:sz w:val="22"/>
                <w:szCs w:val="22"/>
                <w:lang w:val="en-GB"/>
              </w:rPr>
              <w:t>Juin- octobre 2026</w:t>
            </w:r>
          </w:p>
        </w:tc>
        <w:tc>
          <w:tcPr>
            <w:tcW w:w="7230" w:type="dxa"/>
          </w:tcPr>
          <w:p w14:paraId="3A1E4A89" w14:textId="4618618C" w:rsidR="00424388" w:rsidRDefault="00424388" w:rsidP="00424388">
            <w:pPr>
              <w:jc w:val="both"/>
              <w:rPr>
                <w:rFonts w:ascii="Calibri" w:hAnsi="Calibri"/>
                <w:sz w:val="22"/>
                <w:szCs w:val="22"/>
              </w:rPr>
            </w:pPr>
            <w:r w:rsidRPr="00424388">
              <w:rPr>
                <w:rFonts w:ascii="Calibri" w:hAnsi="Calibri"/>
                <w:sz w:val="22"/>
                <w:szCs w:val="22"/>
              </w:rPr>
              <w:t>Produire un rapport technique avec des lignes directrices sur la base des lacunes de connaissances identifiées dans la phase de démarrage, l'expert désigné développera un programme de formation avec au moins 4 modules de formation thématiques. Le contenu des modules de formation devrait se concentrer sur un bref contenu théorique et un contenu pratique important, par exemple des études de cas, des exercices, des discussions entre pairs et d'autres activités pratiques pour mettre en œuvre d'autres pratiques de budgétisation verte. Pour produire le résultat, l'expert désigné mettra en œuvre les activités suivantes :</w:t>
            </w:r>
          </w:p>
          <w:p w14:paraId="30631359" w14:textId="77777777" w:rsidR="00424388" w:rsidRPr="00424388" w:rsidRDefault="00424388" w:rsidP="00424388">
            <w:pPr>
              <w:jc w:val="both"/>
              <w:rPr>
                <w:rFonts w:ascii="Calibri" w:hAnsi="Calibri"/>
                <w:bCs/>
                <w:sz w:val="22"/>
                <w:szCs w:val="22"/>
              </w:rPr>
            </w:pPr>
          </w:p>
          <w:p w14:paraId="5425FEBC" w14:textId="77777777" w:rsidR="00424388" w:rsidRPr="00424388" w:rsidRDefault="00424388" w:rsidP="00424388">
            <w:pPr>
              <w:numPr>
                <w:ilvl w:val="0"/>
                <w:numId w:val="13"/>
              </w:numPr>
              <w:jc w:val="both"/>
              <w:rPr>
                <w:rFonts w:ascii="Calibri" w:hAnsi="Calibri"/>
                <w:bCs/>
                <w:sz w:val="22"/>
                <w:szCs w:val="22"/>
                <w:lang w:val="en-IE"/>
              </w:rPr>
            </w:pPr>
            <w:r w:rsidRPr="00424388">
              <w:rPr>
                <w:rFonts w:ascii="Calibri" w:hAnsi="Calibri"/>
                <w:bCs/>
                <w:sz w:val="22"/>
                <w:szCs w:val="22"/>
                <w:lang w:val="en-IE"/>
              </w:rPr>
              <w:t>Draft a report with guidelines on the green budgeting gaps identified in the inception phase</w:t>
            </w:r>
          </w:p>
          <w:p w14:paraId="31E9B8DC" w14:textId="121154BC" w:rsidR="00424388" w:rsidRPr="00424388" w:rsidRDefault="00424388" w:rsidP="00424388">
            <w:pPr>
              <w:numPr>
                <w:ilvl w:val="0"/>
                <w:numId w:val="13"/>
              </w:numPr>
              <w:jc w:val="both"/>
              <w:rPr>
                <w:rFonts w:ascii="Calibri" w:hAnsi="Calibri"/>
                <w:bCs/>
                <w:sz w:val="22"/>
                <w:szCs w:val="22"/>
                <w:lang w:val="en-IE"/>
              </w:rPr>
            </w:pPr>
            <w:r w:rsidRPr="00424388">
              <w:rPr>
                <w:rFonts w:ascii="Calibri" w:hAnsi="Calibri"/>
                <w:bCs/>
                <w:sz w:val="22"/>
                <w:szCs w:val="22"/>
                <w:lang w:val="en-IE"/>
              </w:rPr>
              <w:t xml:space="preserve">Deliver training on the implementation of the guidelines that would entail to: </w:t>
            </w:r>
          </w:p>
          <w:p w14:paraId="6E65A0D8" w14:textId="77777777" w:rsidR="00424388" w:rsidRPr="00424388" w:rsidRDefault="00424388" w:rsidP="00424388">
            <w:pPr>
              <w:numPr>
                <w:ilvl w:val="0"/>
                <w:numId w:val="13"/>
              </w:numPr>
              <w:jc w:val="both"/>
              <w:rPr>
                <w:rFonts w:ascii="Calibri" w:hAnsi="Calibri"/>
                <w:bCs/>
                <w:sz w:val="22"/>
                <w:szCs w:val="22"/>
                <w:lang w:val="en-IE"/>
              </w:rPr>
            </w:pPr>
            <w:r w:rsidRPr="00424388">
              <w:rPr>
                <w:rFonts w:ascii="Calibri" w:hAnsi="Calibri"/>
                <w:bCs/>
                <w:sz w:val="22"/>
                <w:szCs w:val="22"/>
                <w:lang w:val="en-IE"/>
              </w:rPr>
              <w:t>Develop and implement a training programme with at least 4 modules, including a "Train-the-Trainer" programme: a training of internal trainers (technical staff) for local authorities in collaboration with national institutions.</w:t>
            </w:r>
          </w:p>
          <w:p w14:paraId="4BD85EE7" w14:textId="77777777" w:rsidR="00424388" w:rsidRPr="00424388" w:rsidRDefault="00424388" w:rsidP="00424388">
            <w:pPr>
              <w:numPr>
                <w:ilvl w:val="0"/>
                <w:numId w:val="13"/>
              </w:numPr>
              <w:jc w:val="both"/>
              <w:rPr>
                <w:rFonts w:ascii="Calibri" w:hAnsi="Calibri"/>
                <w:bCs/>
                <w:sz w:val="22"/>
                <w:szCs w:val="22"/>
                <w:lang w:val="en-IE"/>
              </w:rPr>
            </w:pPr>
            <w:r w:rsidRPr="00424388">
              <w:rPr>
                <w:rFonts w:ascii="Calibri" w:hAnsi="Calibri"/>
                <w:bCs/>
                <w:sz w:val="22"/>
                <w:szCs w:val="22"/>
                <w:lang w:val="en-IE"/>
              </w:rPr>
              <w:t>Evaluate training satisfaction</w:t>
            </w:r>
          </w:p>
          <w:p w14:paraId="4EEC4577" w14:textId="77777777" w:rsidR="00424388" w:rsidRPr="00424388" w:rsidRDefault="00424388" w:rsidP="00424388">
            <w:pPr>
              <w:jc w:val="both"/>
              <w:rPr>
                <w:rFonts w:ascii="Calibri" w:hAnsi="Calibri"/>
                <w:sz w:val="22"/>
                <w:szCs w:val="22"/>
                <w:lang w:val="en-GB"/>
              </w:rPr>
            </w:pPr>
          </w:p>
        </w:tc>
      </w:tr>
      <w:tr w:rsidR="00424388" w:rsidRPr="00424388" w14:paraId="2DFC7176" w14:textId="77777777" w:rsidTr="009C342A">
        <w:trPr>
          <w:trHeight w:val="626"/>
          <w:jc w:val="center"/>
        </w:trPr>
        <w:tc>
          <w:tcPr>
            <w:tcW w:w="2127" w:type="dxa"/>
          </w:tcPr>
          <w:p w14:paraId="11CBD4CB" w14:textId="77777777" w:rsidR="00424388" w:rsidRPr="00424388" w:rsidRDefault="00424388" w:rsidP="00424388">
            <w:pPr>
              <w:jc w:val="both"/>
              <w:rPr>
                <w:rFonts w:ascii="Calibri" w:hAnsi="Calibri"/>
                <w:sz w:val="22"/>
                <w:szCs w:val="22"/>
                <w:lang w:val="en-GB"/>
              </w:rPr>
            </w:pPr>
            <w:r w:rsidRPr="00424388">
              <w:rPr>
                <w:rFonts w:ascii="Calibri" w:hAnsi="Calibri"/>
                <w:sz w:val="22"/>
                <w:szCs w:val="22"/>
                <w:lang w:val="en-GB"/>
              </w:rPr>
              <w:t>Contribution aux échanges entre pairs</w:t>
            </w:r>
          </w:p>
          <w:p w14:paraId="53AF26BE" w14:textId="77777777" w:rsidR="00424388" w:rsidRPr="00424388" w:rsidRDefault="00424388" w:rsidP="00424388">
            <w:pPr>
              <w:jc w:val="both"/>
              <w:rPr>
                <w:rFonts w:ascii="Calibri" w:hAnsi="Calibri"/>
                <w:sz w:val="22"/>
                <w:szCs w:val="22"/>
                <w:lang w:val="en-GB"/>
              </w:rPr>
            </w:pPr>
          </w:p>
          <w:p w14:paraId="616DB7BF" w14:textId="016E2D4E" w:rsidR="00424388" w:rsidRPr="00424388" w:rsidRDefault="00424388" w:rsidP="00424388">
            <w:pPr>
              <w:jc w:val="both"/>
              <w:rPr>
                <w:rFonts w:ascii="Calibri" w:hAnsi="Calibri"/>
                <w:sz w:val="22"/>
                <w:szCs w:val="22"/>
              </w:rPr>
            </w:pPr>
            <w:r w:rsidRPr="00424388">
              <w:rPr>
                <w:rFonts w:ascii="Calibri" w:hAnsi="Calibri"/>
                <w:sz w:val="22"/>
                <w:szCs w:val="22"/>
              </w:rPr>
              <w:t>Pendant toute la durée du projet</w:t>
            </w:r>
          </w:p>
        </w:tc>
        <w:tc>
          <w:tcPr>
            <w:tcW w:w="7230" w:type="dxa"/>
          </w:tcPr>
          <w:p w14:paraId="492F1319" w14:textId="47750799" w:rsidR="00424388" w:rsidRPr="00424388" w:rsidRDefault="00424388" w:rsidP="00424388">
            <w:pPr>
              <w:jc w:val="both"/>
              <w:rPr>
                <w:rFonts w:ascii="Calibri" w:hAnsi="Calibri"/>
                <w:sz w:val="22"/>
                <w:szCs w:val="22"/>
              </w:rPr>
            </w:pPr>
            <w:r w:rsidRPr="00424388">
              <w:rPr>
                <w:rFonts w:ascii="Calibri" w:hAnsi="Calibri"/>
                <w:sz w:val="22"/>
                <w:szCs w:val="22"/>
              </w:rPr>
              <w:t>Accompagner les représentants des autorités locales lors d'ateliers et de discussions avec des pairs de France ou d'autres États membres de l'UE et signaler les bonnes pratiques qui pourraient être reproduites ou adaptées au contexte français.</w:t>
            </w:r>
          </w:p>
        </w:tc>
      </w:tr>
      <w:tr w:rsidR="00424388" w:rsidRPr="00424388" w14:paraId="275F418D" w14:textId="77777777" w:rsidTr="009C342A">
        <w:trPr>
          <w:trHeight w:val="1346"/>
          <w:jc w:val="center"/>
        </w:trPr>
        <w:tc>
          <w:tcPr>
            <w:tcW w:w="2127" w:type="dxa"/>
          </w:tcPr>
          <w:p w14:paraId="38E5E836" w14:textId="77777777" w:rsidR="00424388" w:rsidRPr="002E411F" w:rsidRDefault="00424388" w:rsidP="00424388">
            <w:pPr>
              <w:rPr>
                <w:rFonts w:ascii="Calibri" w:hAnsi="Calibri"/>
                <w:sz w:val="22"/>
                <w:szCs w:val="22"/>
              </w:rPr>
            </w:pPr>
            <w:r w:rsidRPr="002E411F">
              <w:rPr>
                <w:rFonts w:ascii="Calibri" w:hAnsi="Calibri"/>
                <w:sz w:val="22"/>
                <w:szCs w:val="22"/>
              </w:rPr>
              <w:t>Contribution au matériel de capitalisation</w:t>
            </w:r>
          </w:p>
          <w:p w14:paraId="670A394E" w14:textId="77777777" w:rsidR="00424388" w:rsidRPr="002E411F" w:rsidRDefault="00424388" w:rsidP="00424388">
            <w:pPr>
              <w:rPr>
                <w:rFonts w:ascii="Calibri" w:hAnsi="Calibri"/>
                <w:sz w:val="22"/>
                <w:szCs w:val="22"/>
              </w:rPr>
            </w:pPr>
          </w:p>
          <w:p w14:paraId="0307A414" w14:textId="0E454F70" w:rsidR="00424388" w:rsidRPr="00424388" w:rsidRDefault="00424388" w:rsidP="00424388">
            <w:pPr>
              <w:rPr>
                <w:rFonts w:ascii="Calibri" w:hAnsi="Calibri"/>
                <w:sz w:val="22"/>
                <w:szCs w:val="22"/>
              </w:rPr>
            </w:pPr>
            <w:r w:rsidRPr="00424388">
              <w:rPr>
                <w:rFonts w:ascii="Calibri" w:hAnsi="Calibri"/>
                <w:sz w:val="22"/>
                <w:szCs w:val="22"/>
              </w:rPr>
              <w:t>Pendant toute la durée du projet</w:t>
            </w:r>
          </w:p>
        </w:tc>
        <w:tc>
          <w:tcPr>
            <w:tcW w:w="7230" w:type="dxa"/>
          </w:tcPr>
          <w:p w14:paraId="572E5427" w14:textId="5E6E5D7E" w:rsidR="00424388" w:rsidRPr="00424388" w:rsidRDefault="00424388" w:rsidP="00424388">
            <w:pPr>
              <w:jc w:val="both"/>
              <w:rPr>
                <w:rFonts w:ascii="Calibri" w:hAnsi="Calibri"/>
                <w:sz w:val="22"/>
                <w:szCs w:val="22"/>
              </w:rPr>
            </w:pPr>
            <w:r w:rsidRPr="00424388">
              <w:rPr>
                <w:rFonts w:ascii="Calibri" w:hAnsi="Calibri"/>
                <w:sz w:val="22"/>
                <w:szCs w:val="22"/>
              </w:rPr>
              <w:t>Contribuer à des publications ou à d'autres documents, par exemple des informations sur les principales conclusions et les meilleures pratiques de la méthodologie d'étiquetage et des lignes directrices sur d'autres pratiques de budgétisation verte. L'objectif du matériel de capitalisation est de diffuser des approches ou des cadres communs potentiels qui peuvent guider la mise en œuvre cohérente et efficace de la budgétisation verte dans les États membres.</w:t>
            </w:r>
          </w:p>
        </w:tc>
      </w:tr>
      <w:tr w:rsidR="00424388" w:rsidRPr="00424388" w14:paraId="73ECF2BA" w14:textId="77777777" w:rsidTr="009C342A">
        <w:trPr>
          <w:trHeight w:val="1268"/>
          <w:jc w:val="center"/>
        </w:trPr>
        <w:tc>
          <w:tcPr>
            <w:tcW w:w="2127" w:type="dxa"/>
          </w:tcPr>
          <w:p w14:paraId="26143B3D" w14:textId="77777777" w:rsidR="00424388" w:rsidRPr="002E411F" w:rsidRDefault="00424388" w:rsidP="00424388">
            <w:pPr>
              <w:jc w:val="both"/>
              <w:rPr>
                <w:rFonts w:ascii="Calibri" w:hAnsi="Calibri"/>
                <w:sz w:val="22"/>
                <w:szCs w:val="22"/>
              </w:rPr>
            </w:pPr>
            <w:r w:rsidRPr="002E411F">
              <w:rPr>
                <w:rFonts w:ascii="Calibri" w:hAnsi="Calibri"/>
                <w:sz w:val="22"/>
                <w:szCs w:val="22"/>
              </w:rPr>
              <w:lastRenderedPageBreak/>
              <w:t>Rapport final et conférence finale</w:t>
            </w:r>
          </w:p>
          <w:p w14:paraId="71316D4C" w14:textId="77777777" w:rsidR="00424388" w:rsidRPr="002E411F" w:rsidRDefault="00424388" w:rsidP="00424388">
            <w:pPr>
              <w:jc w:val="both"/>
              <w:rPr>
                <w:rFonts w:ascii="Calibri" w:hAnsi="Calibri"/>
                <w:sz w:val="22"/>
                <w:szCs w:val="22"/>
              </w:rPr>
            </w:pPr>
          </w:p>
          <w:p w14:paraId="533A154C" w14:textId="103AEA28" w:rsidR="00424388" w:rsidRPr="002E411F" w:rsidRDefault="00424388" w:rsidP="00424388">
            <w:pPr>
              <w:jc w:val="both"/>
              <w:rPr>
                <w:rFonts w:ascii="Calibri" w:hAnsi="Calibri"/>
                <w:sz w:val="22"/>
                <w:szCs w:val="22"/>
              </w:rPr>
            </w:pPr>
            <w:r w:rsidRPr="002E411F">
              <w:rPr>
                <w:rFonts w:ascii="Calibri" w:hAnsi="Calibri"/>
                <w:sz w:val="22"/>
                <w:szCs w:val="22"/>
              </w:rPr>
              <w:t>septembre 2027-décembre 2027</w:t>
            </w:r>
          </w:p>
        </w:tc>
        <w:tc>
          <w:tcPr>
            <w:tcW w:w="7230" w:type="dxa"/>
          </w:tcPr>
          <w:p w14:paraId="764FF167" w14:textId="64647DBD" w:rsidR="00424388" w:rsidRPr="00424388" w:rsidRDefault="00424388" w:rsidP="00424388">
            <w:pPr>
              <w:jc w:val="both"/>
              <w:rPr>
                <w:rFonts w:ascii="Calibri" w:hAnsi="Calibri"/>
                <w:sz w:val="22"/>
                <w:szCs w:val="22"/>
              </w:rPr>
            </w:pPr>
            <w:r w:rsidRPr="00424388">
              <w:rPr>
                <w:rFonts w:ascii="Calibri" w:hAnsi="Calibri"/>
                <w:sz w:val="22"/>
                <w:szCs w:val="22"/>
              </w:rPr>
              <w:t>Rendre compte des principales réalisations, des défis et des enseignements tirés de l'assistance technique fournie en matière de budgétisation verte. Participer à la conférence finale en présentant les progrès réalisés en France en matière de pratiques de budgétisation verte.</w:t>
            </w:r>
          </w:p>
        </w:tc>
      </w:tr>
    </w:tbl>
    <w:p w14:paraId="211D1FCE" w14:textId="77777777" w:rsidR="00424388" w:rsidRPr="00424388" w:rsidRDefault="00424388" w:rsidP="00BF1DCD">
      <w:pPr>
        <w:jc w:val="both"/>
        <w:rPr>
          <w:rFonts w:ascii="Calibri" w:hAnsi="Calibri"/>
          <w:sz w:val="22"/>
          <w:szCs w:val="22"/>
        </w:rPr>
      </w:pPr>
    </w:p>
    <w:p w14:paraId="05248ECE" w14:textId="77777777" w:rsidR="00424388" w:rsidRPr="00424388" w:rsidRDefault="00424388" w:rsidP="00BF1DCD">
      <w:pPr>
        <w:jc w:val="both"/>
        <w:rPr>
          <w:rFonts w:ascii="Calibri" w:hAnsi="Calibri"/>
          <w:sz w:val="22"/>
          <w:szCs w:val="22"/>
        </w:rPr>
      </w:pPr>
    </w:p>
    <w:p w14:paraId="109B2B86" w14:textId="77777777" w:rsidR="00F67012" w:rsidRPr="00966F8F" w:rsidRDefault="00F67012" w:rsidP="00BF1DCD">
      <w:pPr>
        <w:pStyle w:val="Paragraphedeliste2"/>
        <w:spacing w:line="276" w:lineRule="auto"/>
        <w:ind w:left="0"/>
        <w:contextualSpacing/>
        <w:jc w:val="both"/>
        <w:rPr>
          <w:rFonts w:ascii="Calibri" w:hAnsi="Calibri"/>
          <w:sz w:val="22"/>
          <w:szCs w:val="22"/>
        </w:rPr>
      </w:pPr>
    </w:p>
    <w:p w14:paraId="2BE17D43" w14:textId="77777777" w:rsidR="00965444" w:rsidRPr="00D15F32" w:rsidRDefault="00965444" w:rsidP="008F013B">
      <w:pPr>
        <w:numPr>
          <w:ilvl w:val="1"/>
          <w:numId w:val="2"/>
        </w:numPr>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Livrables</w:t>
      </w:r>
      <w:r w:rsidR="003A7507">
        <w:rPr>
          <w:rFonts w:ascii="Calibri" w:eastAsia="Arial Unicode MS" w:hAnsi="Calibri" w:cs="Arial Unicode MS"/>
          <w:b/>
          <w:sz w:val="22"/>
          <w:szCs w:val="22"/>
          <w:lang w:eastAsia="en-US"/>
        </w:rPr>
        <w:t xml:space="preserve"> attendus</w:t>
      </w:r>
    </w:p>
    <w:p w14:paraId="2E38BBF0" w14:textId="73D0D29A" w:rsidR="00424388" w:rsidRDefault="00424388" w:rsidP="00424388">
      <w:pPr>
        <w:jc w:val="both"/>
        <w:rPr>
          <w:rFonts w:ascii="Calibri" w:hAnsi="Calibri"/>
          <w:sz w:val="22"/>
          <w:szCs w:val="22"/>
        </w:rPr>
      </w:pPr>
    </w:p>
    <w:p w14:paraId="77EC47BC" w14:textId="6E28CC76" w:rsidR="00424388" w:rsidRDefault="00424388" w:rsidP="00424388">
      <w:pPr>
        <w:jc w:val="both"/>
        <w:rPr>
          <w:rFonts w:ascii="Calibri" w:hAnsi="Calibri"/>
          <w:sz w:val="22"/>
          <w:szCs w:val="22"/>
        </w:rPr>
      </w:pPr>
      <w:r w:rsidRPr="00424388">
        <w:rPr>
          <w:rFonts w:ascii="Calibri" w:hAnsi="Calibri"/>
          <w:sz w:val="22"/>
          <w:szCs w:val="22"/>
        </w:rPr>
        <w:t xml:space="preserve">Le calendrier précis des </w:t>
      </w:r>
      <w:r>
        <w:rPr>
          <w:rFonts w:ascii="Calibri" w:hAnsi="Calibri"/>
          <w:sz w:val="22"/>
          <w:szCs w:val="22"/>
        </w:rPr>
        <w:t>livrables</w:t>
      </w:r>
      <w:r w:rsidRPr="00424388">
        <w:rPr>
          <w:rFonts w:ascii="Calibri" w:hAnsi="Calibri"/>
          <w:sz w:val="22"/>
          <w:szCs w:val="22"/>
        </w:rPr>
        <w:t xml:space="preserve"> sera convenu entre le(s) expert(s) sélectionné(s), les autorités bénéficiaires et l'équipe du projet.</w:t>
      </w:r>
    </w:p>
    <w:p w14:paraId="068BBA85" w14:textId="6F0F3DCE" w:rsidR="00AF63C1" w:rsidRDefault="00AF63C1" w:rsidP="00E61983">
      <w:pPr>
        <w:jc w:val="both"/>
        <w:rPr>
          <w:rFonts w:ascii="Calibri" w:eastAsia="Arial Unicode MS" w:hAnsi="Calibri" w:cs="Arial Unicode MS"/>
          <w:b/>
          <w:sz w:val="22"/>
          <w:szCs w:val="22"/>
          <w:lang w:eastAsia="en-US"/>
        </w:rPr>
      </w:pPr>
    </w:p>
    <w:p w14:paraId="3FF492B6" w14:textId="77777777" w:rsidR="00424388" w:rsidRDefault="00424388" w:rsidP="00E61983">
      <w:pPr>
        <w:jc w:val="both"/>
        <w:rPr>
          <w:rFonts w:ascii="Calibri" w:eastAsia="Arial Unicode MS" w:hAnsi="Calibri" w:cs="Arial Unicode MS"/>
          <w:b/>
          <w:sz w:val="22"/>
          <w:szCs w:val="22"/>
          <w:lang w:eastAsia="en-US"/>
        </w:rPr>
      </w:pPr>
    </w:p>
    <w:p w14:paraId="397F2D33" w14:textId="77777777" w:rsidR="00965444" w:rsidRPr="009236DE" w:rsidRDefault="00965444" w:rsidP="008F013B">
      <w:pPr>
        <w:numPr>
          <w:ilvl w:val="1"/>
          <w:numId w:val="2"/>
        </w:numPr>
        <w:ind w:left="900"/>
        <w:jc w:val="both"/>
        <w:rPr>
          <w:rFonts w:ascii="Calibri" w:eastAsia="Arial Unicode MS" w:hAnsi="Calibri" w:cs="Arial Unicode MS"/>
          <w:b/>
          <w:sz w:val="22"/>
          <w:szCs w:val="22"/>
          <w:lang w:eastAsia="en-US"/>
        </w:rPr>
      </w:pPr>
      <w:r w:rsidRPr="009236DE">
        <w:rPr>
          <w:rFonts w:ascii="Calibri" w:eastAsia="Arial Unicode MS" w:hAnsi="Calibri" w:cs="Arial Unicode MS"/>
          <w:b/>
          <w:sz w:val="22"/>
          <w:szCs w:val="22"/>
          <w:lang w:eastAsia="en-US"/>
        </w:rPr>
        <w:t xml:space="preserve">Coordination </w:t>
      </w:r>
    </w:p>
    <w:p w14:paraId="5EF5CFCC" w14:textId="77777777" w:rsidR="00965444" w:rsidRPr="009724D1" w:rsidRDefault="00965444" w:rsidP="009236DE">
      <w:pPr>
        <w:jc w:val="both"/>
        <w:rPr>
          <w:rFonts w:ascii="Calibri" w:hAnsi="Calibri"/>
          <w:sz w:val="22"/>
          <w:szCs w:val="22"/>
          <w:highlight w:val="cyan"/>
        </w:rPr>
      </w:pPr>
    </w:p>
    <w:p w14:paraId="1731AFE3" w14:textId="1F9AEE2D" w:rsidR="001C6D6C" w:rsidRDefault="009236DE" w:rsidP="009236DE">
      <w:pPr>
        <w:jc w:val="both"/>
        <w:rPr>
          <w:rFonts w:ascii="Calibri" w:hAnsi="Calibri"/>
          <w:sz w:val="22"/>
          <w:szCs w:val="22"/>
        </w:rPr>
      </w:pPr>
      <w:r w:rsidRPr="00966F8F">
        <w:rPr>
          <w:rFonts w:ascii="Calibri" w:hAnsi="Calibri"/>
          <w:sz w:val="22"/>
          <w:szCs w:val="22"/>
        </w:rPr>
        <w:t>L</w:t>
      </w:r>
      <w:r w:rsidR="00EF6139">
        <w:rPr>
          <w:rFonts w:ascii="Calibri" w:hAnsi="Calibri"/>
          <w:sz w:val="22"/>
          <w:szCs w:val="22"/>
        </w:rPr>
        <w:t>e prestataire désignera un interlocuteur unique pour la mise en œuvre de projet.</w:t>
      </w:r>
    </w:p>
    <w:p w14:paraId="15B00772" w14:textId="518EDD2D" w:rsidR="00EF6139" w:rsidRDefault="00424388" w:rsidP="009236DE">
      <w:pPr>
        <w:jc w:val="both"/>
        <w:rPr>
          <w:rFonts w:ascii="Calibri" w:hAnsi="Calibri"/>
          <w:sz w:val="22"/>
          <w:szCs w:val="22"/>
        </w:rPr>
      </w:pPr>
      <w:r>
        <w:rPr>
          <w:rFonts w:ascii="Calibri" w:hAnsi="Calibri"/>
          <w:sz w:val="22"/>
          <w:szCs w:val="22"/>
        </w:rPr>
        <w:t>Mme Marilou FIORENTINO</w:t>
      </w:r>
      <w:r w:rsidR="006B5831">
        <w:rPr>
          <w:rFonts w:ascii="Calibri" w:hAnsi="Calibri"/>
          <w:sz w:val="22"/>
          <w:szCs w:val="22"/>
        </w:rPr>
        <w:t xml:space="preserve">, du département </w:t>
      </w:r>
      <w:r>
        <w:rPr>
          <w:rFonts w:ascii="Calibri" w:hAnsi="Calibri"/>
          <w:sz w:val="22"/>
          <w:szCs w:val="22"/>
        </w:rPr>
        <w:t>GOUVERNANCE</w:t>
      </w:r>
      <w:r w:rsidR="006B5831">
        <w:rPr>
          <w:rFonts w:ascii="Calibri" w:hAnsi="Calibri"/>
          <w:sz w:val="22"/>
          <w:szCs w:val="22"/>
        </w:rPr>
        <w:t xml:space="preserve"> sera l’interlocuteur unique du prestataire pour Expertise </w:t>
      </w:r>
      <w:r>
        <w:rPr>
          <w:rFonts w:ascii="Calibri" w:hAnsi="Calibri"/>
          <w:sz w:val="22"/>
          <w:szCs w:val="22"/>
        </w:rPr>
        <w:t>France.</w:t>
      </w:r>
    </w:p>
    <w:p w14:paraId="089F0802" w14:textId="77777777" w:rsidR="00424388" w:rsidRDefault="00424388" w:rsidP="009236DE">
      <w:pPr>
        <w:jc w:val="both"/>
        <w:rPr>
          <w:rFonts w:ascii="Calibri" w:hAnsi="Calibri"/>
          <w:sz w:val="22"/>
          <w:szCs w:val="22"/>
        </w:rPr>
      </w:pPr>
    </w:p>
    <w:p w14:paraId="4479B7B4" w14:textId="3681BC23" w:rsidR="006B5831" w:rsidRDefault="006B5831" w:rsidP="009236DE">
      <w:pPr>
        <w:jc w:val="both"/>
        <w:rPr>
          <w:rFonts w:ascii="Calibri" w:hAnsi="Calibri"/>
          <w:sz w:val="22"/>
          <w:szCs w:val="22"/>
        </w:rPr>
      </w:pPr>
      <w:r>
        <w:rPr>
          <w:rFonts w:ascii="Calibri" w:hAnsi="Calibri"/>
          <w:sz w:val="22"/>
          <w:szCs w:val="22"/>
        </w:rPr>
        <w:t>Une r</w:t>
      </w:r>
      <w:r w:rsidR="00424388">
        <w:rPr>
          <w:rFonts w:ascii="Calibri" w:hAnsi="Calibri"/>
          <w:sz w:val="22"/>
          <w:szCs w:val="22"/>
        </w:rPr>
        <w:t>éunion de lancement se tiendra 7</w:t>
      </w:r>
      <w:r>
        <w:rPr>
          <w:rFonts w:ascii="Calibri" w:hAnsi="Calibri"/>
          <w:sz w:val="22"/>
          <w:szCs w:val="22"/>
        </w:rPr>
        <w:t xml:space="preserve"> jours après la notification du contrat.</w:t>
      </w:r>
    </w:p>
    <w:p w14:paraId="683544B8" w14:textId="78F6197F" w:rsidR="009236DE" w:rsidRPr="00966F8F" w:rsidRDefault="009236DE" w:rsidP="009236DE">
      <w:pPr>
        <w:jc w:val="both"/>
        <w:rPr>
          <w:rFonts w:ascii="Calibri" w:hAnsi="Calibri"/>
          <w:sz w:val="22"/>
          <w:szCs w:val="22"/>
        </w:rPr>
      </w:pPr>
      <w:r w:rsidRPr="00F67012">
        <w:rPr>
          <w:rFonts w:ascii="Calibri" w:hAnsi="Calibri"/>
          <w:sz w:val="22"/>
          <w:szCs w:val="22"/>
        </w:rPr>
        <w:t>Une coordination étroite avec l</w:t>
      </w:r>
      <w:r w:rsidR="0076221F">
        <w:rPr>
          <w:rFonts w:ascii="Calibri" w:hAnsi="Calibri"/>
          <w:sz w:val="22"/>
          <w:szCs w:val="22"/>
        </w:rPr>
        <w:t xml:space="preserve">es </w:t>
      </w:r>
      <w:r w:rsidRPr="00F67012">
        <w:rPr>
          <w:rFonts w:ascii="Calibri" w:hAnsi="Calibri"/>
          <w:sz w:val="22"/>
          <w:szCs w:val="22"/>
        </w:rPr>
        <w:t>équipe</w:t>
      </w:r>
      <w:r w:rsidR="0076221F">
        <w:rPr>
          <w:rFonts w:ascii="Calibri" w:hAnsi="Calibri"/>
          <w:sz w:val="22"/>
          <w:szCs w:val="22"/>
        </w:rPr>
        <w:t>s</w:t>
      </w:r>
      <w:r w:rsidRPr="00F67012">
        <w:rPr>
          <w:rFonts w:ascii="Calibri" w:hAnsi="Calibri"/>
          <w:sz w:val="22"/>
          <w:szCs w:val="22"/>
        </w:rPr>
        <w:t xml:space="preserve"> devra impérativement être mise en place dès la préparation de</w:t>
      </w:r>
      <w:r w:rsidR="0076221F">
        <w:rPr>
          <w:rFonts w:ascii="Calibri" w:hAnsi="Calibri"/>
          <w:sz w:val="22"/>
          <w:szCs w:val="22"/>
        </w:rPr>
        <w:t>s</w:t>
      </w:r>
      <w:r w:rsidRPr="00F67012">
        <w:rPr>
          <w:rFonts w:ascii="Calibri" w:hAnsi="Calibri"/>
          <w:sz w:val="22"/>
          <w:szCs w:val="22"/>
        </w:rPr>
        <w:t xml:space="preserve"> mission</w:t>
      </w:r>
      <w:r w:rsidR="0076221F">
        <w:rPr>
          <w:rFonts w:ascii="Calibri" w:hAnsi="Calibri"/>
          <w:sz w:val="22"/>
          <w:szCs w:val="22"/>
        </w:rPr>
        <w:t>s</w:t>
      </w:r>
      <w:r w:rsidRPr="00F67012">
        <w:rPr>
          <w:rFonts w:ascii="Calibri" w:hAnsi="Calibri"/>
          <w:sz w:val="22"/>
          <w:szCs w:val="22"/>
        </w:rPr>
        <w:t xml:space="preserve"> et jusqu’à </w:t>
      </w:r>
      <w:r w:rsidR="0076221F">
        <w:rPr>
          <w:rFonts w:ascii="Calibri" w:hAnsi="Calibri"/>
          <w:sz w:val="22"/>
          <w:szCs w:val="22"/>
        </w:rPr>
        <w:t>leur</w:t>
      </w:r>
      <w:r w:rsidRPr="00F67012">
        <w:rPr>
          <w:rFonts w:ascii="Calibri" w:hAnsi="Calibri"/>
          <w:sz w:val="22"/>
          <w:szCs w:val="22"/>
        </w:rPr>
        <w:t xml:space="preserve"> finalisation. En outre, des échanges réguliers seront à prévoir sur l’état d’avancement de</w:t>
      </w:r>
      <w:r w:rsidR="0076221F">
        <w:rPr>
          <w:rFonts w:ascii="Calibri" w:hAnsi="Calibri"/>
          <w:sz w:val="22"/>
          <w:szCs w:val="22"/>
        </w:rPr>
        <w:t>s</w:t>
      </w:r>
      <w:r w:rsidRPr="00F67012">
        <w:rPr>
          <w:rFonts w:ascii="Calibri" w:hAnsi="Calibri"/>
          <w:sz w:val="22"/>
          <w:szCs w:val="22"/>
        </w:rPr>
        <w:t xml:space="preserve"> mission</w:t>
      </w:r>
      <w:r w:rsidR="00257A40">
        <w:rPr>
          <w:rFonts w:ascii="Calibri" w:hAnsi="Calibri"/>
          <w:sz w:val="22"/>
          <w:szCs w:val="22"/>
        </w:rPr>
        <w:t>s</w:t>
      </w:r>
      <w:r w:rsidRPr="00F67012">
        <w:rPr>
          <w:rFonts w:ascii="Calibri" w:hAnsi="Calibri"/>
          <w:sz w:val="22"/>
          <w:szCs w:val="22"/>
        </w:rPr>
        <w:t xml:space="preserve"> et éventuellement les difficultés rencontrées.</w:t>
      </w:r>
    </w:p>
    <w:p w14:paraId="5E9A3BF5" w14:textId="77777777" w:rsidR="003A7507" w:rsidRDefault="003A7507" w:rsidP="009236DE">
      <w:pPr>
        <w:jc w:val="both"/>
        <w:rPr>
          <w:rFonts w:ascii="Calibri" w:hAnsi="Calibri"/>
          <w:sz w:val="22"/>
          <w:szCs w:val="22"/>
        </w:rPr>
      </w:pPr>
    </w:p>
    <w:p w14:paraId="5DFAFC2C" w14:textId="77777777" w:rsidR="003A7507" w:rsidRPr="00D15F32" w:rsidRDefault="003A7507" w:rsidP="003A7507">
      <w:pPr>
        <w:rPr>
          <w:rFonts w:ascii="Calibri" w:hAnsi="Calibri"/>
          <w:sz w:val="22"/>
          <w:szCs w:val="22"/>
        </w:rPr>
      </w:pPr>
    </w:p>
    <w:p w14:paraId="00A8F97B" w14:textId="77777777" w:rsidR="003A7507" w:rsidRPr="00D15F32" w:rsidRDefault="003A7507"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6D77A0D3" w14:textId="77777777" w:rsidR="003A7507" w:rsidRDefault="003A7507" w:rsidP="003A7507">
      <w:pPr>
        <w:rPr>
          <w:rFonts w:ascii="Calibri" w:hAnsi="Calibri"/>
          <w:sz w:val="22"/>
          <w:szCs w:val="22"/>
          <w:highlight w:val="cyan"/>
        </w:rPr>
      </w:pPr>
    </w:p>
    <w:p w14:paraId="2161A0E3" w14:textId="2A80333E" w:rsidR="003A7507" w:rsidRPr="00424388" w:rsidRDefault="003A7507" w:rsidP="00424388">
      <w:pPr>
        <w:pStyle w:val="Paragraphedeliste"/>
        <w:numPr>
          <w:ilvl w:val="1"/>
          <w:numId w:val="2"/>
        </w:numPr>
        <w:rPr>
          <w:rFonts w:ascii="Calibri" w:eastAsia="Arial Unicode MS" w:hAnsi="Calibri" w:cs="Arial Unicode MS"/>
          <w:b/>
          <w:sz w:val="22"/>
          <w:szCs w:val="22"/>
          <w:lang w:eastAsia="en-US"/>
        </w:rPr>
      </w:pPr>
      <w:r w:rsidRPr="00424388">
        <w:rPr>
          <w:rFonts w:ascii="Calibri" w:eastAsia="Arial Unicode MS" w:hAnsi="Calibri" w:cs="Arial Unicode MS"/>
          <w:b/>
          <w:sz w:val="22"/>
          <w:szCs w:val="22"/>
          <w:lang w:eastAsia="en-US"/>
        </w:rPr>
        <w:t xml:space="preserve">Période de mise en œuvre : </w:t>
      </w:r>
      <w:r w:rsidR="00424388" w:rsidRPr="00424388">
        <w:rPr>
          <w:rFonts w:ascii="Calibri" w:eastAsia="Arial Unicode MS" w:hAnsi="Calibri" w:cs="Arial Unicode MS"/>
          <w:b/>
          <w:sz w:val="22"/>
          <w:szCs w:val="22"/>
          <w:lang w:eastAsia="en-US"/>
        </w:rPr>
        <w:t>01/09/2025 - 29/02/2028</w:t>
      </w:r>
      <w:r w:rsidR="00424388" w:rsidRPr="00424388">
        <w:rPr>
          <w:rFonts w:ascii="Calibri" w:eastAsia="Arial Unicode MS" w:hAnsi="Calibri" w:cs="Arial Unicode MS"/>
          <w:b/>
          <w:sz w:val="22"/>
          <w:szCs w:val="22"/>
          <w:lang w:eastAsia="en-US"/>
        </w:rPr>
        <w:tab/>
      </w:r>
    </w:p>
    <w:p w14:paraId="3965E893" w14:textId="77777777" w:rsidR="003A7507" w:rsidRPr="00AF63C1" w:rsidRDefault="003A7507" w:rsidP="003A7507">
      <w:pPr>
        <w:ind w:left="1080"/>
        <w:rPr>
          <w:rFonts w:ascii="Calibri" w:hAnsi="Calibri"/>
          <w:sz w:val="22"/>
          <w:szCs w:val="22"/>
        </w:rPr>
      </w:pPr>
    </w:p>
    <w:p w14:paraId="15982D84" w14:textId="480081B5" w:rsidR="003A7507" w:rsidRPr="00AC0DEF" w:rsidRDefault="003A7507" w:rsidP="00424388">
      <w:pPr>
        <w:numPr>
          <w:ilvl w:val="1"/>
          <w:numId w:val="2"/>
        </w:numPr>
        <w:ind w:left="900"/>
        <w:jc w:val="both"/>
        <w:rPr>
          <w:rFonts w:ascii="Calibri" w:hAnsi="Calibri"/>
          <w:sz w:val="22"/>
          <w:szCs w:val="22"/>
        </w:rPr>
      </w:pPr>
      <w:r w:rsidRPr="00AC0DEF">
        <w:rPr>
          <w:rFonts w:ascii="Calibri" w:eastAsia="Arial Unicode MS" w:hAnsi="Calibri" w:cs="Arial Unicode MS"/>
          <w:b/>
          <w:sz w:val="22"/>
          <w:szCs w:val="22"/>
          <w:lang w:eastAsia="en-US"/>
        </w:rPr>
        <w:t>Date de démarrage :</w:t>
      </w:r>
      <w:r w:rsidR="00060146" w:rsidRPr="00AC0DEF">
        <w:rPr>
          <w:rFonts w:ascii="Calibri" w:eastAsia="Arial Unicode MS" w:hAnsi="Calibri" w:cs="Arial Unicode MS"/>
          <w:b/>
          <w:sz w:val="22"/>
          <w:szCs w:val="22"/>
          <w:lang w:eastAsia="en-US"/>
        </w:rPr>
        <w:t xml:space="preserve"> </w:t>
      </w:r>
      <w:r w:rsidR="00424388" w:rsidRPr="00424388">
        <w:rPr>
          <w:rFonts w:ascii="Calibri" w:eastAsia="Arial Unicode MS" w:hAnsi="Calibri" w:cs="Arial Unicode MS"/>
          <w:b/>
          <w:sz w:val="22"/>
          <w:szCs w:val="22"/>
          <w:lang w:eastAsia="en-US"/>
        </w:rPr>
        <w:t>01/09/2025</w:t>
      </w:r>
    </w:p>
    <w:p w14:paraId="0A16D9D4" w14:textId="77777777" w:rsidR="00AC0DEF" w:rsidRPr="00AC0DEF" w:rsidRDefault="00AC0DEF" w:rsidP="00AC0DEF">
      <w:pPr>
        <w:jc w:val="both"/>
        <w:rPr>
          <w:rFonts w:ascii="Calibri" w:hAnsi="Calibri"/>
          <w:sz w:val="22"/>
          <w:szCs w:val="22"/>
        </w:rPr>
      </w:pPr>
    </w:p>
    <w:p w14:paraId="4476555E" w14:textId="64C393A1" w:rsidR="003A7507" w:rsidRPr="006B5831" w:rsidRDefault="003A7507" w:rsidP="008F013B">
      <w:pPr>
        <w:numPr>
          <w:ilvl w:val="1"/>
          <w:numId w:val="2"/>
        </w:numPr>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r w:rsidR="00424388" w:rsidRPr="00424388">
        <w:rPr>
          <w:rFonts w:ascii="Calibri" w:eastAsia="Arial Unicode MS" w:hAnsi="Calibri" w:cs="Arial Unicode MS"/>
          <w:b/>
          <w:sz w:val="22"/>
          <w:szCs w:val="22"/>
          <w:lang w:eastAsia="en-US"/>
        </w:rPr>
        <w:t>29/02/2028</w:t>
      </w:r>
    </w:p>
    <w:p w14:paraId="68133FA5" w14:textId="77777777" w:rsidR="006B5831" w:rsidRDefault="006B5831" w:rsidP="006B5831">
      <w:pPr>
        <w:pStyle w:val="Paragraphedeliste"/>
        <w:rPr>
          <w:rFonts w:ascii="Calibri" w:hAnsi="Calibri"/>
          <w:sz w:val="22"/>
          <w:szCs w:val="22"/>
        </w:rPr>
      </w:pPr>
    </w:p>
    <w:p w14:paraId="7E6C9111" w14:textId="0DEC8A3A" w:rsidR="003A7507" w:rsidRPr="006B5831" w:rsidRDefault="003A7507" w:rsidP="008F013B">
      <w:pPr>
        <w:numPr>
          <w:ilvl w:val="1"/>
          <w:numId w:val="2"/>
        </w:numPr>
        <w:ind w:left="900"/>
        <w:jc w:val="both"/>
        <w:rPr>
          <w:rFonts w:ascii="Calibri" w:hAnsi="Calibri"/>
          <w:sz w:val="22"/>
          <w:szCs w:val="22"/>
        </w:rPr>
      </w:pPr>
      <w:r w:rsidRPr="00257A40">
        <w:rPr>
          <w:rFonts w:ascii="Calibri" w:eastAsia="Arial Unicode MS" w:hAnsi="Calibri" w:cs="Arial Unicode MS"/>
          <w:b/>
          <w:sz w:val="22"/>
          <w:szCs w:val="22"/>
          <w:lang w:eastAsia="en-US"/>
        </w:rPr>
        <w:t>Durée effective</w:t>
      </w:r>
      <w:r w:rsidR="00BB0137" w:rsidRPr="00257A40">
        <w:rPr>
          <w:rFonts w:ascii="Calibri" w:eastAsia="Arial Unicode MS" w:hAnsi="Calibri" w:cs="Arial Unicode MS"/>
          <w:b/>
          <w:sz w:val="22"/>
          <w:szCs w:val="22"/>
          <w:lang w:eastAsia="en-US"/>
        </w:rPr>
        <w:t xml:space="preserve"> par mission</w:t>
      </w:r>
      <w:r w:rsidRPr="00257A40">
        <w:rPr>
          <w:rFonts w:ascii="Calibri" w:eastAsia="Arial Unicode MS" w:hAnsi="Calibri" w:cs="Arial Unicode MS"/>
          <w:b/>
          <w:sz w:val="22"/>
          <w:szCs w:val="22"/>
          <w:lang w:eastAsia="en-US"/>
        </w:rPr>
        <w:t> :</w:t>
      </w:r>
      <w:r w:rsidR="00424388">
        <w:rPr>
          <w:rFonts w:ascii="Calibri" w:eastAsia="Arial Unicode MS" w:hAnsi="Calibri" w:cs="Arial Unicode MS"/>
          <w:b/>
          <w:sz w:val="22"/>
          <w:szCs w:val="22"/>
          <w:lang w:eastAsia="en-US"/>
        </w:rPr>
        <w:t xml:space="preserve"> 30 mois</w:t>
      </w:r>
    </w:p>
    <w:p w14:paraId="05A36279" w14:textId="77777777" w:rsidR="006B5831" w:rsidRDefault="006B5831" w:rsidP="006B5831">
      <w:pPr>
        <w:pStyle w:val="Paragraphedeliste"/>
        <w:rPr>
          <w:rFonts w:ascii="Calibri" w:hAnsi="Calibri"/>
          <w:sz w:val="22"/>
          <w:szCs w:val="22"/>
        </w:rPr>
      </w:pPr>
    </w:p>
    <w:p w14:paraId="2606381B" w14:textId="77777777" w:rsidR="003A7507" w:rsidRPr="00D15F32" w:rsidRDefault="003A7507" w:rsidP="008F013B">
      <w:pPr>
        <w:numPr>
          <w:ilvl w:val="1"/>
          <w:numId w:val="2"/>
        </w:numPr>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Planning/calendrier : </w:t>
      </w:r>
    </w:p>
    <w:p w14:paraId="57A33242" w14:textId="77777777" w:rsidR="003A7507" w:rsidRPr="00D15F32" w:rsidRDefault="003A7507" w:rsidP="003A7507">
      <w:pPr>
        <w:jc w:val="both"/>
        <w:rPr>
          <w:rFonts w:ascii="Calibri" w:hAnsi="Calibri"/>
          <w:sz w:val="22"/>
          <w:szCs w:val="22"/>
        </w:rPr>
      </w:pPr>
    </w:p>
    <w:p w14:paraId="2ACBEEA3" w14:textId="20C2B9AA" w:rsidR="003A7507" w:rsidRPr="00D15F32" w:rsidRDefault="003A7507" w:rsidP="003A7507">
      <w:pPr>
        <w:jc w:val="both"/>
        <w:rPr>
          <w:rFonts w:ascii="Calibri" w:hAnsi="Calibri"/>
          <w:i/>
          <w:sz w:val="22"/>
          <w:szCs w:val="22"/>
        </w:rPr>
      </w:pPr>
      <w:r w:rsidRPr="00D15F32">
        <w:rPr>
          <w:rFonts w:ascii="Calibri" w:hAnsi="Calibri"/>
          <w:i/>
          <w:sz w:val="22"/>
          <w:szCs w:val="22"/>
        </w:rPr>
        <w:t>Le calendrier prévisio</w:t>
      </w:r>
      <w:r w:rsidR="00424388">
        <w:rPr>
          <w:rFonts w:ascii="Calibri" w:hAnsi="Calibri"/>
          <w:i/>
          <w:sz w:val="22"/>
          <w:szCs w:val="22"/>
        </w:rPr>
        <w:t xml:space="preserve">nnel d’exécution des missions sera défini par la suite. </w:t>
      </w:r>
    </w:p>
    <w:p w14:paraId="149B0105" w14:textId="04CB7853" w:rsidR="003A0700" w:rsidRPr="00D15F32" w:rsidRDefault="009236DE" w:rsidP="001D27F6">
      <w:pPr>
        <w:rPr>
          <w:rFonts w:ascii="Calibri" w:hAnsi="Calibri"/>
          <w:sz w:val="22"/>
          <w:szCs w:val="22"/>
        </w:rPr>
      </w:pPr>
      <w:r>
        <w:rPr>
          <w:rFonts w:ascii="Calibri" w:hAnsi="Calibri"/>
          <w:sz w:val="22"/>
          <w:szCs w:val="22"/>
        </w:rPr>
        <w:tab/>
      </w:r>
    </w:p>
    <w:p w14:paraId="1982EB1F" w14:textId="77777777" w:rsidR="001D27F6" w:rsidRPr="00D15F32" w:rsidRDefault="0047117E"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2C6EDB">
        <w:rPr>
          <w:rFonts w:ascii="Calibri" w:eastAsia="Arial Unicode MS" w:hAnsi="Calibri" w:cs="Arial Unicode MS"/>
          <w:b/>
          <w:sz w:val="22"/>
          <w:szCs w:val="22"/>
          <w:lang w:eastAsia="en-US"/>
        </w:rPr>
        <w:t>et profil</w:t>
      </w:r>
      <w:r w:rsidR="001D27F6" w:rsidRPr="00D15F32">
        <w:rPr>
          <w:rFonts w:ascii="Calibri" w:eastAsia="Arial Unicode MS" w:hAnsi="Calibri" w:cs="Arial Unicode MS"/>
          <w:b/>
          <w:sz w:val="22"/>
          <w:szCs w:val="22"/>
          <w:lang w:eastAsia="en-US"/>
        </w:rPr>
        <w:t xml:space="preserve"> demandé</w:t>
      </w:r>
      <w:r w:rsidR="002C6EDB">
        <w:rPr>
          <w:rFonts w:ascii="Calibri" w:eastAsia="Arial Unicode MS" w:hAnsi="Calibri" w:cs="Arial Unicode MS"/>
          <w:b/>
          <w:sz w:val="22"/>
          <w:szCs w:val="22"/>
          <w:lang w:eastAsia="en-US"/>
        </w:rPr>
        <w:t>s</w:t>
      </w:r>
    </w:p>
    <w:p w14:paraId="4E82B09E" w14:textId="77777777" w:rsidR="001441C8" w:rsidRPr="00D15F32" w:rsidRDefault="001441C8" w:rsidP="00C85939">
      <w:pPr>
        <w:ind w:left="540"/>
        <w:jc w:val="both"/>
        <w:rPr>
          <w:rFonts w:ascii="Calibri" w:eastAsia="Arial Unicode MS" w:hAnsi="Calibri" w:cs="Arial Unicode MS"/>
          <w:b/>
          <w:sz w:val="22"/>
          <w:szCs w:val="22"/>
          <w:lang w:eastAsia="en-US"/>
        </w:rPr>
      </w:pPr>
    </w:p>
    <w:p w14:paraId="06BE8B9F" w14:textId="7F0A36AD" w:rsidR="003A7185" w:rsidRPr="00D15F32" w:rsidRDefault="00B66BE6" w:rsidP="008F013B">
      <w:pPr>
        <w:numPr>
          <w:ilvl w:val="1"/>
          <w:numId w:val="2"/>
        </w:numPr>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Nombre d’experts</w:t>
      </w:r>
      <w:r w:rsidR="00BB0137">
        <w:rPr>
          <w:rFonts w:ascii="Calibri" w:eastAsia="Arial Unicode MS" w:hAnsi="Calibri" w:cs="Arial Unicode MS"/>
          <w:b/>
          <w:sz w:val="22"/>
          <w:szCs w:val="22"/>
          <w:lang w:eastAsia="en-US"/>
        </w:rPr>
        <w:t xml:space="preserve"> par mission</w:t>
      </w:r>
      <w:r w:rsidRPr="00D15F32">
        <w:rPr>
          <w:rFonts w:ascii="Calibri" w:eastAsia="Arial Unicode MS" w:hAnsi="Calibri" w:cs="Arial Unicode MS"/>
          <w:b/>
          <w:sz w:val="22"/>
          <w:szCs w:val="22"/>
          <w:lang w:eastAsia="en-US"/>
        </w:rPr>
        <w:t> :</w:t>
      </w:r>
      <w:r w:rsidR="00EC3375">
        <w:rPr>
          <w:rFonts w:ascii="Calibri" w:eastAsia="Arial Unicode MS" w:hAnsi="Calibri" w:cs="Arial Unicode MS"/>
          <w:sz w:val="22"/>
          <w:szCs w:val="22"/>
          <w:lang w:eastAsia="en-US"/>
        </w:rPr>
        <w:t xml:space="preserve"> </w:t>
      </w:r>
      <w:r w:rsidR="00424388">
        <w:rPr>
          <w:rFonts w:ascii="Calibri" w:eastAsia="Arial Unicode MS" w:hAnsi="Calibri" w:cs="Arial Unicode MS"/>
          <w:sz w:val="22"/>
          <w:szCs w:val="22"/>
          <w:lang w:eastAsia="en-US"/>
        </w:rPr>
        <w:t>1-3</w:t>
      </w:r>
    </w:p>
    <w:p w14:paraId="56FF0DA7" w14:textId="77777777" w:rsidR="003A7185" w:rsidRPr="00D15F32" w:rsidRDefault="003A7185" w:rsidP="00C85939">
      <w:pPr>
        <w:jc w:val="both"/>
        <w:rPr>
          <w:rFonts w:ascii="Calibri" w:eastAsia="Arial Unicode MS" w:hAnsi="Calibri" w:cs="Arial Unicode MS"/>
          <w:b/>
          <w:sz w:val="22"/>
          <w:szCs w:val="22"/>
          <w:lang w:eastAsia="en-US"/>
        </w:rPr>
      </w:pPr>
    </w:p>
    <w:p w14:paraId="11BBB708" w14:textId="5C93AD8B" w:rsidR="003A7185" w:rsidRPr="00D15F32" w:rsidRDefault="00B66BE6" w:rsidP="008F013B">
      <w:pPr>
        <w:numPr>
          <w:ilvl w:val="1"/>
          <w:numId w:val="2"/>
        </w:numPr>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Profil d</w:t>
      </w:r>
      <w:r w:rsidR="00C90734">
        <w:rPr>
          <w:rFonts w:ascii="Calibri" w:eastAsia="Arial Unicode MS" w:hAnsi="Calibri" w:cs="Arial Unicode MS"/>
          <w:b/>
          <w:sz w:val="22"/>
          <w:szCs w:val="22"/>
          <w:lang w:eastAsia="en-US"/>
        </w:rPr>
        <w:t>e l</w:t>
      </w:r>
      <w:r w:rsidRPr="00D15F32">
        <w:rPr>
          <w:rFonts w:ascii="Calibri" w:eastAsia="Arial Unicode MS" w:hAnsi="Calibri" w:cs="Arial Unicode MS"/>
          <w:b/>
          <w:sz w:val="22"/>
          <w:szCs w:val="22"/>
          <w:lang w:eastAsia="en-US"/>
        </w:rPr>
        <w:t>’expert</w:t>
      </w:r>
      <w:r w:rsidR="00C90734">
        <w:rPr>
          <w:rFonts w:ascii="Calibri" w:eastAsia="Arial Unicode MS" w:hAnsi="Calibri" w:cs="Arial Unicode MS"/>
          <w:b/>
          <w:sz w:val="22"/>
          <w:szCs w:val="22"/>
          <w:lang w:eastAsia="en-US"/>
        </w:rPr>
        <w:t xml:space="preserve"> (des experts) désigné(s) en charge de l’exécution du contrat</w:t>
      </w:r>
    </w:p>
    <w:p w14:paraId="69696EF1" w14:textId="77777777" w:rsidR="003A7185" w:rsidRDefault="003A7185" w:rsidP="00C85939">
      <w:pPr>
        <w:jc w:val="both"/>
        <w:rPr>
          <w:rFonts w:ascii="Calibri" w:hAnsi="Calibri"/>
          <w:sz w:val="22"/>
          <w:szCs w:val="22"/>
          <w:u w:val="single"/>
        </w:rPr>
      </w:pPr>
    </w:p>
    <w:p w14:paraId="3A1970AA" w14:textId="77777777" w:rsidR="009236DE" w:rsidRPr="00966F8F" w:rsidRDefault="009236DE" w:rsidP="008F013B">
      <w:pPr>
        <w:numPr>
          <w:ilvl w:val="0"/>
          <w:numId w:val="4"/>
        </w:numPr>
        <w:tabs>
          <w:tab w:val="num" w:pos="720"/>
        </w:tabs>
        <w:jc w:val="both"/>
        <w:rPr>
          <w:rFonts w:ascii="Calibri" w:hAnsi="Calibri"/>
          <w:iCs/>
          <w:sz w:val="22"/>
          <w:szCs w:val="22"/>
          <w:u w:val="single"/>
        </w:rPr>
      </w:pPr>
      <w:r w:rsidRPr="00966F8F">
        <w:rPr>
          <w:rFonts w:ascii="Calibri" w:hAnsi="Calibri"/>
          <w:iCs/>
          <w:sz w:val="22"/>
          <w:szCs w:val="22"/>
          <w:u w:val="single"/>
        </w:rPr>
        <w:t>Qualifications et compétences :</w:t>
      </w:r>
    </w:p>
    <w:p w14:paraId="7D03FBBA" w14:textId="681B0F66" w:rsidR="009236DE" w:rsidRPr="00966F8F" w:rsidRDefault="009236DE" w:rsidP="008F013B">
      <w:pPr>
        <w:numPr>
          <w:ilvl w:val="0"/>
          <w:numId w:val="1"/>
        </w:numPr>
        <w:jc w:val="both"/>
        <w:rPr>
          <w:rFonts w:ascii="Calibri" w:hAnsi="Calibri"/>
          <w:sz w:val="22"/>
          <w:szCs w:val="22"/>
        </w:rPr>
      </w:pPr>
      <w:r w:rsidRPr="00966F8F">
        <w:rPr>
          <w:rFonts w:ascii="Calibri" w:hAnsi="Calibri"/>
          <w:sz w:val="22"/>
          <w:szCs w:val="22"/>
        </w:rPr>
        <w:t>Titulaire d’un diplôme universitaire de 2</w:t>
      </w:r>
      <w:r w:rsidRPr="00966F8F">
        <w:rPr>
          <w:rFonts w:ascii="Calibri" w:hAnsi="Calibri"/>
          <w:sz w:val="22"/>
          <w:szCs w:val="22"/>
          <w:vertAlign w:val="superscript"/>
        </w:rPr>
        <w:t>ème</w:t>
      </w:r>
      <w:r w:rsidRPr="00966F8F">
        <w:rPr>
          <w:rFonts w:ascii="Calibri" w:hAnsi="Calibri"/>
          <w:sz w:val="22"/>
          <w:szCs w:val="22"/>
        </w:rPr>
        <w:t xml:space="preserve"> cycle en administration, renforcement des organisations,  en gestion ou expérience équivalente.</w:t>
      </w:r>
    </w:p>
    <w:p w14:paraId="1CDD03D6" w14:textId="77777777" w:rsidR="009236DE" w:rsidRPr="00966F8F" w:rsidRDefault="009236DE" w:rsidP="008F013B">
      <w:pPr>
        <w:numPr>
          <w:ilvl w:val="0"/>
          <w:numId w:val="1"/>
        </w:numPr>
        <w:jc w:val="both"/>
        <w:rPr>
          <w:rFonts w:ascii="Calibri" w:hAnsi="Calibri"/>
          <w:sz w:val="22"/>
          <w:szCs w:val="22"/>
        </w:rPr>
      </w:pPr>
      <w:r w:rsidRPr="00966F8F">
        <w:rPr>
          <w:rFonts w:ascii="Calibri" w:hAnsi="Calibri"/>
          <w:sz w:val="22"/>
          <w:szCs w:val="22"/>
        </w:rPr>
        <w:lastRenderedPageBreak/>
        <w:t>Excellentes qualités /capacités :</w:t>
      </w:r>
    </w:p>
    <w:p w14:paraId="65E8E68E" w14:textId="77777777" w:rsidR="009236DE" w:rsidRPr="00966F8F" w:rsidRDefault="009236DE" w:rsidP="008F013B">
      <w:pPr>
        <w:numPr>
          <w:ilvl w:val="1"/>
          <w:numId w:val="3"/>
        </w:numPr>
        <w:jc w:val="both"/>
        <w:rPr>
          <w:rFonts w:ascii="Calibri" w:eastAsia="Arial Unicode MS" w:hAnsi="Calibri"/>
          <w:sz w:val="22"/>
          <w:szCs w:val="22"/>
        </w:rPr>
      </w:pPr>
      <w:r w:rsidRPr="00966F8F">
        <w:rPr>
          <w:rFonts w:ascii="Calibri" w:hAnsi="Calibri"/>
          <w:sz w:val="22"/>
          <w:szCs w:val="22"/>
        </w:rPr>
        <w:t>de communication</w:t>
      </w:r>
    </w:p>
    <w:p w14:paraId="32E1D02B" w14:textId="77777777" w:rsidR="009236DE" w:rsidRPr="00966F8F" w:rsidRDefault="009236DE" w:rsidP="008F013B">
      <w:pPr>
        <w:numPr>
          <w:ilvl w:val="1"/>
          <w:numId w:val="3"/>
        </w:numPr>
        <w:jc w:val="both"/>
        <w:rPr>
          <w:rFonts w:ascii="Calibri" w:eastAsia="Arial Unicode MS" w:hAnsi="Calibri"/>
          <w:sz w:val="22"/>
          <w:szCs w:val="22"/>
        </w:rPr>
      </w:pPr>
      <w:r w:rsidRPr="00966F8F">
        <w:rPr>
          <w:rFonts w:ascii="Calibri" w:hAnsi="Calibri"/>
          <w:sz w:val="22"/>
          <w:szCs w:val="22"/>
        </w:rPr>
        <w:t>de travail en équipe et relationnel</w:t>
      </w:r>
    </w:p>
    <w:p w14:paraId="1BFBE1C2" w14:textId="77777777" w:rsidR="009236DE" w:rsidRPr="00966F8F" w:rsidRDefault="009236DE" w:rsidP="008F013B">
      <w:pPr>
        <w:numPr>
          <w:ilvl w:val="1"/>
          <w:numId w:val="3"/>
        </w:numPr>
        <w:jc w:val="both"/>
        <w:rPr>
          <w:rFonts w:ascii="Calibri" w:eastAsia="Arial Unicode MS" w:hAnsi="Calibri"/>
          <w:sz w:val="22"/>
          <w:szCs w:val="22"/>
        </w:rPr>
      </w:pPr>
      <w:r w:rsidRPr="00966F8F">
        <w:rPr>
          <w:rFonts w:ascii="Calibri" w:eastAsia="Arial Unicode MS" w:hAnsi="Calibri"/>
          <w:sz w:val="22"/>
          <w:szCs w:val="22"/>
        </w:rPr>
        <w:t xml:space="preserve">de transmission des savoirs </w:t>
      </w:r>
    </w:p>
    <w:p w14:paraId="291084AD" w14:textId="77777777" w:rsidR="009236DE" w:rsidRPr="00966F8F" w:rsidRDefault="009236DE" w:rsidP="008F013B">
      <w:pPr>
        <w:numPr>
          <w:ilvl w:val="1"/>
          <w:numId w:val="3"/>
        </w:numPr>
        <w:jc w:val="both"/>
        <w:rPr>
          <w:rFonts w:ascii="Calibri" w:eastAsia="Arial Unicode MS" w:hAnsi="Calibri"/>
          <w:sz w:val="22"/>
          <w:szCs w:val="22"/>
        </w:rPr>
      </w:pPr>
      <w:r w:rsidRPr="00966F8F">
        <w:rPr>
          <w:rFonts w:ascii="Calibri" w:hAnsi="Calibri"/>
          <w:sz w:val="22"/>
          <w:szCs w:val="22"/>
        </w:rPr>
        <w:t xml:space="preserve">de </w:t>
      </w:r>
      <w:r w:rsidR="00AF63C1">
        <w:rPr>
          <w:rFonts w:ascii="Calibri" w:hAnsi="Calibri"/>
          <w:sz w:val="22"/>
          <w:szCs w:val="22"/>
        </w:rPr>
        <w:t>synthèse et de rédaction</w:t>
      </w:r>
    </w:p>
    <w:p w14:paraId="79BEB956" w14:textId="77777777" w:rsidR="009236DE" w:rsidRPr="00966F8F" w:rsidRDefault="009236DE" w:rsidP="008F013B">
      <w:pPr>
        <w:numPr>
          <w:ilvl w:val="1"/>
          <w:numId w:val="3"/>
        </w:numPr>
        <w:jc w:val="both"/>
        <w:rPr>
          <w:rFonts w:ascii="Calibri" w:eastAsia="Arial Unicode MS" w:hAnsi="Calibri"/>
          <w:sz w:val="22"/>
          <w:szCs w:val="22"/>
        </w:rPr>
      </w:pPr>
      <w:r w:rsidRPr="00966F8F">
        <w:rPr>
          <w:rFonts w:ascii="Calibri" w:hAnsi="Calibri"/>
          <w:sz w:val="22"/>
          <w:szCs w:val="22"/>
        </w:rPr>
        <w:t>d’analyse et résolution des problèmes</w:t>
      </w:r>
    </w:p>
    <w:p w14:paraId="24D905F0" w14:textId="77777777" w:rsidR="009236DE" w:rsidRPr="00966F8F" w:rsidRDefault="009236DE" w:rsidP="008F013B">
      <w:pPr>
        <w:numPr>
          <w:ilvl w:val="1"/>
          <w:numId w:val="3"/>
        </w:numPr>
        <w:jc w:val="both"/>
        <w:rPr>
          <w:rFonts w:ascii="Calibri" w:eastAsia="Arial Unicode MS" w:hAnsi="Calibri"/>
          <w:sz w:val="22"/>
          <w:szCs w:val="22"/>
        </w:rPr>
      </w:pPr>
      <w:r w:rsidRPr="00966F8F">
        <w:rPr>
          <w:rFonts w:ascii="Calibri" w:hAnsi="Calibri"/>
          <w:sz w:val="22"/>
          <w:szCs w:val="22"/>
        </w:rPr>
        <w:t>de prise de décision et d’initiative</w:t>
      </w:r>
    </w:p>
    <w:p w14:paraId="34C59F08" w14:textId="6959F3D7" w:rsidR="00BD7CF0" w:rsidRDefault="009236DE" w:rsidP="008F013B">
      <w:pPr>
        <w:numPr>
          <w:ilvl w:val="0"/>
          <w:numId w:val="1"/>
        </w:numPr>
        <w:jc w:val="both"/>
        <w:rPr>
          <w:rFonts w:ascii="Calibri" w:hAnsi="Calibri"/>
          <w:sz w:val="22"/>
          <w:szCs w:val="22"/>
        </w:rPr>
      </w:pPr>
      <w:r w:rsidRPr="00966F8F">
        <w:rPr>
          <w:rFonts w:ascii="Calibri" w:hAnsi="Calibri"/>
          <w:sz w:val="22"/>
          <w:szCs w:val="22"/>
        </w:rPr>
        <w:t>Excellente maîtrise du français (écrit / oral)</w:t>
      </w:r>
      <w:r w:rsidR="00E86382">
        <w:rPr>
          <w:rFonts w:ascii="Calibri" w:hAnsi="Calibri"/>
          <w:sz w:val="22"/>
          <w:szCs w:val="22"/>
        </w:rPr>
        <w:t xml:space="preserve"> ou de l’anglais </w:t>
      </w:r>
      <w:r w:rsidR="008A59C4" w:rsidRPr="00966F8F">
        <w:rPr>
          <w:rFonts w:ascii="Calibri" w:hAnsi="Calibri"/>
          <w:sz w:val="22"/>
          <w:szCs w:val="22"/>
        </w:rPr>
        <w:t>(écrit / oral)</w:t>
      </w:r>
      <w:r w:rsidR="008A59C4">
        <w:rPr>
          <w:rFonts w:ascii="Calibri" w:hAnsi="Calibri"/>
          <w:sz w:val="22"/>
          <w:szCs w:val="22"/>
        </w:rPr>
        <w:t xml:space="preserve"> </w:t>
      </w:r>
      <w:r w:rsidR="00E86382">
        <w:rPr>
          <w:rFonts w:ascii="Calibri" w:hAnsi="Calibri"/>
          <w:sz w:val="22"/>
          <w:szCs w:val="22"/>
        </w:rPr>
        <w:t>en fonction du pays d’intervention</w:t>
      </w:r>
      <w:r w:rsidR="000B7D24">
        <w:rPr>
          <w:rFonts w:ascii="Calibri" w:hAnsi="Calibri"/>
          <w:sz w:val="22"/>
          <w:szCs w:val="22"/>
        </w:rPr>
        <w:t>.</w:t>
      </w:r>
    </w:p>
    <w:p w14:paraId="0CEFDF66" w14:textId="77777777" w:rsidR="000B7D24" w:rsidRDefault="000B7D24" w:rsidP="000B7D24">
      <w:pPr>
        <w:jc w:val="both"/>
        <w:rPr>
          <w:rFonts w:ascii="Calibri" w:hAnsi="Calibri"/>
          <w:sz w:val="22"/>
          <w:szCs w:val="22"/>
        </w:rPr>
      </w:pPr>
    </w:p>
    <w:p w14:paraId="207755A1" w14:textId="77777777" w:rsidR="009236DE" w:rsidRPr="00966F8F" w:rsidRDefault="009236DE" w:rsidP="008F013B">
      <w:pPr>
        <w:numPr>
          <w:ilvl w:val="0"/>
          <w:numId w:val="4"/>
        </w:numPr>
        <w:tabs>
          <w:tab w:val="num" w:pos="720"/>
        </w:tabs>
        <w:jc w:val="both"/>
        <w:rPr>
          <w:rFonts w:ascii="Calibri" w:hAnsi="Calibri"/>
          <w:iCs/>
          <w:sz w:val="22"/>
          <w:szCs w:val="22"/>
          <w:u w:val="single"/>
        </w:rPr>
      </w:pPr>
      <w:r w:rsidRPr="00966F8F">
        <w:rPr>
          <w:rFonts w:ascii="Calibri" w:hAnsi="Calibri"/>
          <w:iCs/>
          <w:sz w:val="22"/>
          <w:szCs w:val="22"/>
          <w:u w:val="single"/>
        </w:rPr>
        <w:t>Expérience professionnelle générale</w:t>
      </w:r>
    </w:p>
    <w:p w14:paraId="1D1CC0A8" w14:textId="33D28E76" w:rsidR="009236DE" w:rsidRPr="00966F8F" w:rsidRDefault="009236DE" w:rsidP="00424388">
      <w:pPr>
        <w:numPr>
          <w:ilvl w:val="0"/>
          <w:numId w:val="1"/>
        </w:numPr>
        <w:jc w:val="both"/>
        <w:rPr>
          <w:rFonts w:ascii="Calibri" w:hAnsi="Calibri"/>
          <w:sz w:val="22"/>
          <w:szCs w:val="22"/>
        </w:rPr>
      </w:pPr>
      <w:r w:rsidRPr="00966F8F">
        <w:rPr>
          <w:rFonts w:ascii="Calibri" w:hAnsi="Calibri"/>
          <w:sz w:val="22"/>
          <w:szCs w:val="22"/>
        </w:rPr>
        <w:t>Expérience professionnelle d’au moins 5 ans dans le domaine de</w:t>
      </w:r>
      <w:r w:rsidR="00424388">
        <w:rPr>
          <w:rFonts w:ascii="Calibri" w:hAnsi="Calibri"/>
          <w:sz w:val="22"/>
          <w:szCs w:val="22"/>
        </w:rPr>
        <w:t xml:space="preserve"> l’</w:t>
      </w:r>
      <w:r w:rsidR="00424388" w:rsidRPr="00424388">
        <w:rPr>
          <w:rFonts w:ascii="Calibri" w:hAnsi="Calibri"/>
          <w:sz w:val="22"/>
          <w:szCs w:val="22"/>
        </w:rPr>
        <w:t xml:space="preserve">Économie de l'environnement et/ou du climat, politique fiscale environnementale, gestion écologique des finances publiques </w:t>
      </w:r>
      <w:r w:rsidRPr="00A14686">
        <w:rPr>
          <w:rFonts w:ascii="Calibri" w:hAnsi="Calibri"/>
          <w:sz w:val="22"/>
          <w:szCs w:val="22"/>
        </w:rPr>
        <w:t xml:space="preserve">notamment en </w:t>
      </w:r>
      <w:r w:rsidR="00424388">
        <w:rPr>
          <w:rFonts w:ascii="Calibri" w:hAnsi="Calibri"/>
          <w:sz w:val="22"/>
          <w:szCs w:val="22"/>
        </w:rPr>
        <w:t>Europe</w:t>
      </w:r>
      <w:r w:rsidRPr="00A14686">
        <w:rPr>
          <w:rFonts w:ascii="Calibri" w:hAnsi="Calibri"/>
          <w:sz w:val="22"/>
          <w:szCs w:val="22"/>
        </w:rPr>
        <w:t>.</w:t>
      </w:r>
    </w:p>
    <w:p w14:paraId="7317A53A" w14:textId="42FC2C57" w:rsidR="009236DE" w:rsidRPr="00966F8F" w:rsidRDefault="009236DE" w:rsidP="008F013B">
      <w:pPr>
        <w:numPr>
          <w:ilvl w:val="0"/>
          <w:numId w:val="1"/>
        </w:numPr>
        <w:jc w:val="both"/>
        <w:rPr>
          <w:rFonts w:ascii="Calibri" w:hAnsi="Calibri"/>
          <w:sz w:val="22"/>
          <w:szCs w:val="22"/>
        </w:rPr>
      </w:pPr>
      <w:r w:rsidRPr="00966F8F">
        <w:rPr>
          <w:rFonts w:ascii="Calibri" w:hAnsi="Calibri"/>
          <w:sz w:val="22"/>
          <w:szCs w:val="22"/>
        </w:rPr>
        <w:t xml:space="preserve">Expérience professionnelle d’au moins 5 ans en lien </w:t>
      </w:r>
      <w:r w:rsidR="000B7D24">
        <w:rPr>
          <w:rFonts w:ascii="Calibri" w:hAnsi="Calibri"/>
          <w:sz w:val="22"/>
          <w:szCs w:val="22"/>
        </w:rPr>
        <w:t xml:space="preserve">avec </w:t>
      </w:r>
      <w:r w:rsidR="00424388">
        <w:rPr>
          <w:rFonts w:ascii="Calibri" w:hAnsi="Calibri"/>
          <w:sz w:val="22"/>
          <w:szCs w:val="22"/>
        </w:rPr>
        <w:t>la budgétisation verte</w:t>
      </w:r>
      <w:r w:rsidR="000B7D24">
        <w:rPr>
          <w:rFonts w:ascii="Calibri" w:hAnsi="Calibri"/>
          <w:sz w:val="22"/>
          <w:szCs w:val="22"/>
        </w:rPr>
        <w:t>.</w:t>
      </w:r>
    </w:p>
    <w:p w14:paraId="6D2A84C0" w14:textId="09907CC2" w:rsidR="009236DE" w:rsidRPr="00966F8F" w:rsidRDefault="009236DE" w:rsidP="00884A79">
      <w:pPr>
        <w:numPr>
          <w:ilvl w:val="0"/>
          <w:numId w:val="1"/>
        </w:numPr>
        <w:jc w:val="both"/>
        <w:rPr>
          <w:rFonts w:ascii="Calibri" w:hAnsi="Calibri"/>
          <w:sz w:val="22"/>
          <w:szCs w:val="22"/>
        </w:rPr>
      </w:pPr>
      <w:r w:rsidRPr="00966F8F">
        <w:rPr>
          <w:rFonts w:ascii="Calibri" w:hAnsi="Calibri"/>
          <w:sz w:val="22"/>
          <w:szCs w:val="22"/>
        </w:rPr>
        <w:t xml:space="preserve">Bonne maîtrise des enjeux liés </w:t>
      </w:r>
      <w:r w:rsidR="00884A79">
        <w:rPr>
          <w:rFonts w:ascii="Calibri" w:hAnsi="Calibri"/>
          <w:sz w:val="22"/>
          <w:szCs w:val="22"/>
        </w:rPr>
        <w:t>à la budgétisation verte</w:t>
      </w:r>
      <w:r w:rsidRPr="00966F8F">
        <w:rPr>
          <w:rFonts w:ascii="Calibri" w:hAnsi="Calibri"/>
          <w:sz w:val="22"/>
          <w:szCs w:val="22"/>
        </w:rPr>
        <w:t xml:space="preserve">, ainsi </w:t>
      </w:r>
      <w:r w:rsidR="00884A79" w:rsidRPr="00966F8F">
        <w:rPr>
          <w:rFonts w:ascii="Calibri" w:hAnsi="Calibri"/>
          <w:sz w:val="22"/>
          <w:szCs w:val="22"/>
        </w:rPr>
        <w:t>qu’</w:t>
      </w:r>
      <w:r w:rsidR="00884A79">
        <w:rPr>
          <w:rFonts w:ascii="Calibri" w:hAnsi="Calibri"/>
          <w:sz w:val="22"/>
          <w:szCs w:val="22"/>
        </w:rPr>
        <w:t>à</w:t>
      </w:r>
      <w:r w:rsidR="00884A79" w:rsidRPr="00966F8F">
        <w:rPr>
          <w:rFonts w:ascii="Calibri" w:hAnsi="Calibri"/>
          <w:sz w:val="22"/>
          <w:szCs w:val="22"/>
        </w:rPr>
        <w:t xml:space="preserve"> </w:t>
      </w:r>
      <w:r w:rsidR="00884A79">
        <w:rPr>
          <w:rFonts w:ascii="Calibri" w:hAnsi="Calibri"/>
          <w:sz w:val="22"/>
          <w:szCs w:val="22"/>
        </w:rPr>
        <w:t>l’</w:t>
      </w:r>
      <w:r w:rsidR="00884A79" w:rsidRPr="00884A79">
        <w:rPr>
          <w:rFonts w:ascii="Calibri" w:hAnsi="Calibri"/>
          <w:sz w:val="22"/>
          <w:szCs w:val="22"/>
        </w:rPr>
        <w:t>économie de l'environnement et du climat</w:t>
      </w:r>
      <w:r w:rsidRPr="00966F8F">
        <w:rPr>
          <w:rFonts w:ascii="Calibri" w:hAnsi="Calibri"/>
          <w:sz w:val="22"/>
          <w:szCs w:val="22"/>
        </w:rPr>
        <w:t>.</w:t>
      </w:r>
    </w:p>
    <w:p w14:paraId="13339C22" w14:textId="77777777" w:rsidR="009236DE" w:rsidRPr="00966F8F" w:rsidRDefault="009236DE" w:rsidP="009236DE">
      <w:pPr>
        <w:jc w:val="both"/>
        <w:rPr>
          <w:rFonts w:ascii="Calibri" w:hAnsi="Calibri"/>
          <w:i/>
          <w:sz w:val="22"/>
          <w:szCs w:val="22"/>
          <w:u w:val="single"/>
        </w:rPr>
      </w:pPr>
    </w:p>
    <w:p w14:paraId="3DF98ADC" w14:textId="77777777" w:rsidR="009236DE" w:rsidRPr="00966F8F" w:rsidRDefault="009236DE" w:rsidP="008F013B">
      <w:pPr>
        <w:numPr>
          <w:ilvl w:val="0"/>
          <w:numId w:val="4"/>
        </w:numPr>
        <w:tabs>
          <w:tab w:val="num" w:pos="720"/>
        </w:tabs>
        <w:jc w:val="both"/>
        <w:rPr>
          <w:rFonts w:ascii="Calibri" w:hAnsi="Calibri"/>
          <w:iCs/>
          <w:sz w:val="22"/>
          <w:szCs w:val="22"/>
          <w:u w:val="single"/>
        </w:rPr>
      </w:pPr>
      <w:r w:rsidRPr="00966F8F">
        <w:rPr>
          <w:rFonts w:ascii="Calibri" w:hAnsi="Calibri"/>
          <w:iCs/>
          <w:sz w:val="22"/>
          <w:szCs w:val="22"/>
          <w:u w:val="single"/>
        </w:rPr>
        <w:t>Expérience professionnelle spécifique</w:t>
      </w:r>
    </w:p>
    <w:p w14:paraId="2950F0D7" w14:textId="513DE7D3" w:rsidR="009236DE" w:rsidRDefault="009236DE" w:rsidP="008F013B">
      <w:pPr>
        <w:numPr>
          <w:ilvl w:val="0"/>
          <w:numId w:val="1"/>
        </w:numPr>
        <w:jc w:val="both"/>
        <w:rPr>
          <w:rFonts w:ascii="Calibri" w:hAnsi="Calibri"/>
          <w:sz w:val="22"/>
          <w:szCs w:val="22"/>
        </w:rPr>
      </w:pPr>
      <w:r w:rsidRPr="00966F8F">
        <w:rPr>
          <w:rFonts w:ascii="Calibri" w:hAnsi="Calibri"/>
          <w:sz w:val="22"/>
          <w:szCs w:val="22"/>
        </w:rPr>
        <w:t xml:space="preserve">Parfaite connaissance </w:t>
      </w:r>
      <w:r w:rsidR="00424388">
        <w:rPr>
          <w:rFonts w:ascii="Calibri" w:hAnsi="Calibri"/>
          <w:sz w:val="22"/>
          <w:szCs w:val="22"/>
        </w:rPr>
        <w:t>du contexte français</w:t>
      </w:r>
      <w:r w:rsidRPr="00966F8F">
        <w:rPr>
          <w:rFonts w:ascii="Calibri" w:hAnsi="Calibri"/>
          <w:sz w:val="22"/>
          <w:szCs w:val="22"/>
        </w:rPr>
        <w:t>.</w:t>
      </w:r>
    </w:p>
    <w:p w14:paraId="0CDDF696" w14:textId="77777777" w:rsidR="00934199" w:rsidRPr="00D15F32" w:rsidRDefault="00934199" w:rsidP="00E167A2">
      <w:pPr>
        <w:rPr>
          <w:rFonts w:ascii="Calibri" w:hAnsi="Calibri"/>
          <w:sz w:val="22"/>
          <w:szCs w:val="22"/>
        </w:rPr>
      </w:pPr>
    </w:p>
    <w:p w14:paraId="3A498321" w14:textId="77777777" w:rsidR="00E167A2" w:rsidRPr="00D15F32" w:rsidRDefault="00777EC5"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Compte-rendu </w:t>
      </w:r>
      <w:r w:rsidR="00E167A2" w:rsidRPr="00D15F32">
        <w:rPr>
          <w:rFonts w:ascii="Calibri" w:eastAsia="Arial Unicode MS" w:hAnsi="Calibri" w:cs="Arial Unicode MS"/>
          <w:b/>
          <w:sz w:val="22"/>
          <w:szCs w:val="22"/>
          <w:lang w:eastAsia="en-US"/>
        </w:rPr>
        <w:t>de mission</w:t>
      </w:r>
      <w:r>
        <w:rPr>
          <w:rFonts w:ascii="Calibri" w:eastAsia="Arial Unicode MS" w:hAnsi="Calibri" w:cs="Arial Unicode MS"/>
          <w:b/>
          <w:sz w:val="22"/>
          <w:szCs w:val="22"/>
          <w:lang w:eastAsia="en-US"/>
        </w:rPr>
        <w:t>s</w:t>
      </w:r>
    </w:p>
    <w:p w14:paraId="31384A07" w14:textId="77777777" w:rsidR="00E167A2" w:rsidRPr="00D15F32" w:rsidRDefault="00E167A2" w:rsidP="00E167A2">
      <w:pPr>
        <w:jc w:val="both"/>
        <w:rPr>
          <w:rFonts w:ascii="Calibri" w:hAnsi="Calibri"/>
          <w:sz w:val="22"/>
          <w:szCs w:val="22"/>
        </w:rPr>
      </w:pPr>
    </w:p>
    <w:p w14:paraId="577CBB7E" w14:textId="5B8E993B" w:rsidR="001A29FD" w:rsidRDefault="00E167A2" w:rsidP="005568BE">
      <w:pPr>
        <w:jc w:val="both"/>
        <w:rPr>
          <w:rFonts w:ascii="Calibri" w:hAnsi="Calibri"/>
          <w:sz w:val="22"/>
          <w:szCs w:val="22"/>
        </w:rPr>
      </w:pPr>
      <w:r w:rsidRPr="00D15F32">
        <w:rPr>
          <w:rFonts w:ascii="Calibri" w:hAnsi="Calibri"/>
          <w:sz w:val="22"/>
          <w:szCs w:val="22"/>
        </w:rPr>
        <w:t xml:space="preserve">Un </w:t>
      </w:r>
      <w:r w:rsidR="0091201F" w:rsidRPr="00D15F32">
        <w:rPr>
          <w:rFonts w:ascii="Calibri" w:hAnsi="Calibri"/>
          <w:sz w:val="22"/>
          <w:szCs w:val="22"/>
        </w:rPr>
        <w:t xml:space="preserve">compte rendu (suivant </w:t>
      </w:r>
      <w:r w:rsidR="009724D1">
        <w:rPr>
          <w:rFonts w:ascii="Calibri" w:hAnsi="Calibri"/>
          <w:sz w:val="22"/>
          <w:szCs w:val="22"/>
        </w:rPr>
        <w:t xml:space="preserve">le </w:t>
      </w:r>
      <w:r w:rsidR="0091201F" w:rsidRPr="00D15F32">
        <w:rPr>
          <w:rFonts w:ascii="Calibri" w:hAnsi="Calibri"/>
          <w:sz w:val="22"/>
          <w:szCs w:val="22"/>
        </w:rPr>
        <w:t>modèle fourni) devra</w:t>
      </w:r>
      <w:r w:rsidRPr="00D15F32">
        <w:rPr>
          <w:rFonts w:ascii="Calibri" w:hAnsi="Calibri"/>
          <w:sz w:val="22"/>
          <w:szCs w:val="22"/>
        </w:rPr>
        <w:t xml:space="preserve"> être remis</w:t>
      </w:r>
      <w:r w:rsidR="00777EC5">
        <w:rPr>
          <w:rFonts w:ascii="Calibri" w:hAnsi="Calibri"/>
          <w:sz w:val="22"/>
          <w:szCs w:val="22"/>
        </w:rPr>
        <w:t xml:space="preserve"> par </w:t>
      </w:r>
      <w:r w:rsidR="00777EC5" w:rsidRPr="005568BE">
        <w:rPr>
          <w:rFonts w:ascii="Calibri" w:eastAsia="Arial Unicode MS" w:hAnsi="Calibri" w:cs="Arial Unicode MS"/>
          <w:sz w:val="22"/>
          <w:szCs w:val="22"/>
          <w:lang w:eastAsia="en-US"/>
        </w:rPr>
        <w:t>mail</w:t>
      </w:r>
      <w:r w:rsidR="00A549E0">
        <w:rPr>
          <w:rFonts w:ascii="Calibri" w:eastAsia="Arial Unicode MS" w:hAnsi="Calibri" w:cs="Arial Unicode MS"/>
          <w:sz w:val="22"/>
          <w:szCs w:val="22"/>
          <w:lang w:eastAsia="en-US"/>
        </w:rPr>
        <w:t xml:space="preserve"> </w:t>
      </w:r>
      <w:r w:rsidR="009236DE">
        <w:rPr>
          <w:rFonts w:ascii="Calibri" w:hAnsi="Calibri"/>
          <w:sz w:val="22"/>
          <w:szCs w:val="22"/>
        </w:rPr>
        <w:t>à l’issue de</w:t>
      </w:r>
      <w:r w:rsidR="0091201F" w:rsidRPr="00D15F32">
        <w:rPr>
          <w:rFonts w:ascii="Calibri" w:hAnsi="Calibri"/>
          <w:sz w:val="22"/>
          <w:szCs w:val="22"/>
        </w:rPr>
        <w:t xml:space="preserve"> mission</w:t>
      </w:r>
      <w:r w:rsidR="001A29FD">
        <w:rPr>
          <w:rFonts w:ascii="Calibri" w:hAnsi="Calibri"/>
          <w:sz w:val="22"/>
          <w:szCs w:val="22"/>
        </w:rPr>
        <w:t> : il correspond au livrable r</w:t>
      </w:r>
      <w:r w:rsidR="001A29FD" w:rsidRPr="00B40E67">
        <w:rPr>
          <w:rFonts w:ascii="Calibri" w:eastAsia="Arial Unicode MS" w:hAnsi="Calibri" w:cs="Arial Unicode MS"/>
          <w:sz w:val="22"/>
          <w:szCs w:val="22"/>
          <w:lang w:eastAsia="en-US"/>
        </w:rPr>
        <w:t>a</w:t>
      </w:r>
      <w:r w:rsidR="00C90734">
        <w:rPr>
          <w:rFonts w:ascii="Calibri" w:eastAsia="Arial Unicode MS" w:hAnsi="Calibri" w:cs="Arial Unicode MS"/>
          <w:sz w:val="22"/>
          <w:szCs w:val="22"/>
          <w:lang w:eastAsia="en-US"/>
        </w:rPr>
        <w:t xml:space="preserve">pport de diagnostic synthétique </w:t>
      </w:r>
      <w:r w:rsidR="008273B0">
        <w:rPr>
          <w:rFonts w:ascii="Calibri" w:eastAsia="Arial Unicode MS" w:hAnsi="Calibri" w:cs="Arial Unicode MS"/>
          <w:sz w:val="22"/>
          <w:szCs w:val="22"/>
          <w:lang w:eastAsia="en-US"/>
        </w:rPr>
        <w:t>pour justifier de la mission.  </w:t>
      </w:r>
    </w:p>
    <w:p w14:paraId="6731BF84" w14:textId="77777777" w:rsidR="003A7507" w:rsidRDefault="003A7507" w:rsidP="003A7507">
      <w:pPr>
        <w:jc w:val="both"/>
        <w:rPr>
          <w:rFonts w:ascii="Calibri" w:eastAsia="Arial Unicode MS" w:hAnsi="Calibri" w:cs="Arial Unicode MS"/>
          <w:b/>
          <w:sz w:val="22"/>
          <w:szCs w:val="22"/>
          <w:lang w:eastAsia="en-US"/>
        </w:rPr>
      </w:pPr>
    </w:p>
    <w:p w14:paraId="7A8D169F" w14:textId="77777777" w:rsidR="003A7507" w:rsidRDefault="003A7507"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Suivi-évaluation </w:t>
      </w:r>
    </w:p>
    <w:p w14:paraId="11A9D2A4" w14:textId="77777777" w:rsidR="005568BE" w:rsidRDefault="005568BE" w:rsidP="00292DA8">
      <w:pPr>
        <w:jc w:val="both"/>
        <w:rPr>
          <w:rFonts w:ascii="Calibri" w:eastAsia="Arial Unicode MS" w:hAnsi="Calibri" w:cs="Arial Unicode MS"/>
          <w:sz w:val="22"/>
          <w:szCs w:val="22"/>
          <w:lang w:eastAsia="en-US"/>
        </w:rPr>
      </w:pPr>
    </w:p>
    <w:p w14:paraId="3B02A13D" w14:textId="77777777" w:rsidR="003A7507" w:rsidRDefault="003A7507" w:rsidP="003A7507">
      <w:pPr>
        <w:jc w:val="both"/>
        <w:rPr>
          <w:rFonts w:ascii="Calibri" w:eastAsia="Arial Unicode MS" w:hAnsi="Calibri" w:cs="Arial Unicode MS"/>
          <w:b/>
          <w:sz w:val="22"/>
          <w:szCs w:val="22"/>
          <w:lang w:eastAsia="en-US"/>
        </w:rPr>
      </w:pPr>
    </w:p>
    <w:p w14:paraId="6EF07BD2" w14:textId="77777777" w:rsidR="003A7507" w:rsidRDefault="003A7507" w:rsidP="00F84E72">
      <w:pPr>
        <w:jc w:val="both"/>
        <w:rPr>
          <w:rFonts w:ascii="Calibri" w:hAnsi="Calibri" w:cs="Arial"/>
          <w:sz w:val="22"/>
          <w:szCs w:val="22"/>
        </w:rPr>
      </w:pPr>
      <w:r>
        <w:rPr>
          <w:rFonts w:ascii="Calibri" w:eastAsia="Arial Unicode MS" w:hAnsi="Calibri" w:cs="Arial Unicode MS"/>
          <w:b/>
          <w:sz w:val="22"/>
          <w:szCs w:val="22"/>
          <w:lang w:eastAsia="en-US"/>
        </w:rPr>
        <w:t>Indicateurs de performance</w:t>
      </w:r>
    </w:p>
    <w:p w14:paraId="1ACB1F40" w14:textId="77777777" w:rsidR="003A7507" w:rsidRDefault="003A7507" w:rsidP="001D27F6">
      <w:pPr>
        <w:rPr>
          <w:rFonts w:ascii="Calibri" w:hAnsi="Calibri"/>
          <w:sz w:val="22"/>
          <w:szCs w:val="22"/>
        </w:rPr>
      </w:pPr>
    </w:p>
    <w:tbl>
      <w:tblPr>
        <w:tblStyle w:val="Tablaconcuadrcula2"/>
        <w:tblW w:w="0" w:type="auto"/>
        <w:tblLook w:val="04A0" w:firstRow="1" w:lastRow="0" w:firstColumn="1" w:lastColumn="0" w:noHBand="0" w:noVBand="1"/>
      </w:tblPr>
      <w:tblGrid>
        <w:gridCol w:w="979"/>
        <w:gridCol w:w="1232"/>
        <w:gridCol w:w="1730"/>
        <w:gridCol w:w="1452"/>
        <w:gridCol w:w="948"/>
        <w:gridCol w:w="1352"/>
        <w:gridCol w:w="1369"/>
      </w:tblGrid>
      <w:tr w:rsidR="00424388" w:rsidRPr="00424388" w14:paraId="4A3F20E9" w14:textId="77777777" w:rsidTr="00424388">
        <w:tc>
          <w:tcPr>
            <w:tcW w:w="0" w:type="auto"/>
            <w:vMerge w:val="restart"/>
            <w:vAlign w:val="center"/>
          </w:tcPr>
          <w:p w14:paraId="43685598" w14:textId="77777777" w:rsidR="00424388" w:rsidRPr="00C92C93" w:rsidRDefault="00424388" w:rsidP="009C342A">
            <w:pPr>
              <w:spacing w:before="120" w:line="240" w:lineRule="atLeast"/>
              <w:jc w:val="center"/>
              <w:rPr>
                <w:b/>
                <w:sz w:val="16"/>
                <w:szCs w:val="20"/>
                <w:lang w:val="fr-FR"/>
              </w:rPr>
            </w:pPr>
          </w:p>
        </w:tc>
        <w:tc>
          <w:tcPr>
            <w:tcW w:w="0" w:type="auto"/>
            <w:vMerge w:val="restart"/>
            <w:vAlign w:val="center"/>
          </w:tcPr>
          <w:p w14:paraId="14A8733A" w14:textId="77777777" w:rsidR="00424388" w:rsidRPr="00C92C93" w:rsidRDefault="00424388" w:rsidP="009C342A">
            <w:pPr>
              <w:spacing w:before="120" w:line="240" w:lineRule="atLeast"/>
              <w:jc w:val="center"/>
              <w:rPr>
                <w:b/>
                <w:bCs/>
                <w:sz w:val="16"/>
                <w:szCs w:val="20"/>
                <w:lang w:val="fr-FR"/>
              </w:rPr>
            </w:pPr>
            <w:r w:rsidRPr="00C92C93">
              <w:rPr>
                <w:b/>
                <w:bCs/>
                <w:sz w:val="16"/>
                <w:lang w:val="fr-FR"/>
              </w:rPr>
              <w:t>Intervention logic</w:t>
            </w:r>
          </w:p>
        </w:tc>
        <w:tc>
          <w:tcPr>
            <w:tcW w:w="1730" w:type="dxa"/>
            <w:vMerge w:val="restart"/>
            <w:vAlign w:val="center"/>
          </w:tcPr>
          <w:p w14:paraId="1D5924BB" w14:textId="77777777" w:rsidR="00424388" w:rsidRPr="00C92C93" w:rsidRDefault="00424388" w:rsidP="009C342A">
            <w:pPr>
              <w:spacing w:before="120" w:line="240" w:lineRule="atLeast"/>
              <w:jc w:val="center"/>
              <w:rPr>
                <w:b/>
                <w:bCs/>
                <w:sz w:val="16"/>
                <w:szCs w:val="20"/>
                <w:lang w:val="fr-FR"/>
              </w:rPr>
            </w:pPr>
            <w:r w:rsidRPr="00C92C93">
              <w:rPr>
                <w:b/>
                <w:bCs/>
                <w:sz w:val="16"/>
                <w:szCs w:val="20"/>
                <w:lang w:val="fr-FR"/>
              </w:rPr>
              <w:t xml:space="preserve">Indicator </w:t>
            </w:r>
          </w:p>
        </w:tc>
        <w:tc>
          <w:tcPr>
            <w:tcW w:w="2400" w:type="dxa"/>
            <w:gridSpan w:val="2"/>
            <w:vAlign w:val="center"/>
          </w:tcPr>
          <w:p w14:paraId="7FE2D74C" w14:textId="77777777" w:rsidR="00424388" w:rsidRPr="00C92C93" w:rsidRDefault="00424388" w:rsidP="009C342A">
            <w:pPr>
              <w:spacing w:before="120" w:line="240" w:lineRule="atLeast"/>
              <w:jc w:val="center"/>
              <w:rPr>
                <w:b/>
                <w:bCs/>
                <w:sz w:val="16"/>
                <w:szCs w:val="20"/>
                <w:lang w:val="fr-FR"/>
              </w:rPr>
            </w:pPr>
            <w:r w:rsidRPr="00C92C93">
              <w:rPr>
                <w:b/>
                <w:bCs/>
                <w:sz w:val="16"/>
                <w:szCs w:val="20"/>
                <w:lang w:val="fr-FR"/>
              </w:rPr>
              <w:t xml:space="preserve">Values of reference </w:t>
            </w:r>
          </w:p>
          <w:p w14:paraId="3C6A75BF" w14:textId="77777777" w:rsidR="00424388" w:rsidRPr="00C92C93" w:rsidRDefault="00424388" w:rsidP="009C342A">
            <w:pPr>
              <w:spacing w:before="120" w:line="240" w:lineRule="atLeast"/>
              <w:jc w:val="center"/>
              <w:rPr>
                <w:i/>
                <w:iCs/>
                <w:sz w:val="16"/>
                <w:szCs w:val="20"/>
                <w:lang w:val="fr-FR"/>
              </w:rPr>
            </w:pPr>
            <w:r w:rsidRPr="00C92C93">
              <w:rPr>
                <w:i/>
                <w:iCs/>
                <w:sz w:val="16"/>
                <w:szCs w:val="20"/>
                <w:lang w:val="fr-FR"/>
              </w:rPr>
              <w:t>(per indicator)</w:t>
            </w:r>
          </w:p>
        </w:tc>
        <w:tc>
          <w:tcPr>
            <w:tcW w:w="1352" w:type="dxa"/>
            <w:vMerge w:val="restart"/>
            <w:vAlign w:val="center"/>
          </w:tcPr>
          <w:p w14:paraId="5B33F308" w14:textId="77777777" w:rsidR="00424388" w:rsidRPr="00424388" w:rsidRDefault="00424388" w:rsidP="009C342A">
            <w:pPr>
              <w:spacing w:before="120" w:line="240" w:lineRule="atLeast"/>
              <w:jc w:val="center"/>
              <w:rPr>
                <w:b/>
                <w:bCs/>
                <w:sz w:val="16"/>
                <w:szCs w:val="20"/>
              </w:rPr>
            </w:pPr>
            <w:r w:rsidRPr="002E411F">
              <w:rPr>
                <w:b/>
                <w:bCs/>
                <w:sz w:val="16"/>
                <w:szCs w:val="20"/>
              </w:rPr>
              <w:t>Sources an</w:t>
            </w:r>
            <w:r w:rsidRPr="00424388">
              <w:rPr>
                <w:b/>
                <w:bCs/>
                <w:sz w:val="16"/>
                <w:szCs w:val="20"/>
              </w:rPr>
              <w:t>d means of information</w:t>
            </w:r>
          </w:p>
        </w:tc>
        <w:tc>
          <w:tcPr>
            <w:tcW w:w="1369" w:type="dxa"/>
            <w:vMerge w:val="restart"/>
            <w:vAlign w:val="center"/>
          </w:tcPr>
          <w:p w14:paraId="72FF6128" w14:textId="77777777" w:rsidR="00424388" w:rsidRPr="00424388" w:rsidRDefault="00424388" w:rsidP="009C342A">
            <w:pPr>
              <w:spacing w:before="120" w:line="240" w:lineRule="atLeast"/>
              <w:jc w:val="center"/>
              <w:rPr>
                <w:b/>
                <w:bCs/>
                <w:sz w:val="16"/>
                <w:szCs w:val="20"/>
              </w:rPr>
            </w:pPr>
            <w:r w:rsidRPr="00424388">
              <w:rPr>
                <w:b/>
                <w:bCs/>
                <w:sz w:val="16"/>
                <w:szCs w:val="20"/>
              </w:rPr>
              <w:t>Assumptions</w:t>
            </w:r>
          </w:p>
        </w:tc>
      </w:tr>
      <w:tr w:rsidR="00424388" w:rsidRPr="00424388" w14:paraId="03F952F8" w14:textId="77777777" w:rsidTr="00424388">
        <w:tc>
          <w:tcPr>
            <w:tcW w:w="0" w:type="auto"/>
            <w:vMerge/>
          </w:tcPr>
          <w:p w14:paraId="72DE5B57" w14:textId="77777777" w:rsidR="00424388" w:rsidRPr="00424388" w:rsidRDefault="00424388" w:rsidP="009C342A">
            <w:pPr>
              <w:spacing w:before="120" w:line="240" w:lineRule="atLeast"/>
              <w:rPr>
                <w:sz w:val="16"/>
                <w:szCs w:val="20"/>
              </w:rPr>
            </w:pPr>
          </w:p>
        </w:tc>
        <w:tc>
          <w:tcPr>
            <w:tcW w:w="0" w:type="auto"/>
            <w:vMerge/>
          </w:tcPr>
          <w:p w14:paraId="57630A7F" w14:textId="77777777" w:rsidR="00424388" w:rsidRPr="00424388" w:rsidRDefault="00424388" w:rsidP="009C342A">
            <w:pPr>
              <w:spacing w:before="120" w:line="240" w:lineRule="atLeast"/>
              <w:rPr>
                <w:sz w:val="16"/>
                <w:szCs w:val="20"/>
              </w:rPr>
            </w:pPr>
          </w:p>
        </w:tc>
        <w:tc>
          <w:tcPr>
            <w:tcW w:w="1730" w:type="dxa"/>
            <w:vMerge/>
          </w:tcPr>
          <w:p w14:paraId="0D968793" w14:textId="77777777" w:rsidR="00424388" w:rsidRPr="00424388" w:rsidRDefault="00424388" w:rsidP="009C342A">
            <w:pPr>
              <w:spacing w:before="120" w:line="240" w:lineRule="atLeast"/>
              <w:rPr>
                <w:sz w:val="16"/>
                <w:szCs w:val="20"/>
              </w:rPr>
            </w:pPr>
          </w:p>
        </w:tc>
        <w:tc>
          <w:tcPr>
            <w:tcW w:w="1452" w:type="dxa"/>
            <w:vAlign w:val="center"/>
          </w:tcPr>
          <w:p w14:paraId="62DBD948" w14:textId="77777777" w:rsidR="00424388" w:rsidRPr="00424388" w:rsidRDefault="00424388" w:rsidP="009C342A">
            <w:pPr>
              <w:spacing w:before="120" w:line="240" w:lineRule="atLeast"/>
              <w:jc w:val="center"/>
              <w:rPr>
                <w:sz w:val="16"/>
                <w:szCs w:val="20"/>
              </w:rPr>
            </w:pPr>
            <w:r w:rsidRPr="00424388">
              <w:rPr>
                <w:b/>
                <w:bCs/>
                <w:sz w:val="16"/>
                <w:szCs w:val="20"/>
              </w:rPr>
              <w:t>Baseline</w:t>
            </w:r>
          </w:p>
          <w:p w14:paraId="272B98EB" w14:textId="77777777" w:rsidR="00424388" w:rsidRPr="00424388" w:rsidRDefault="00424388" w:rsidP="009C342A">
            <w:pPr>
              <w:spacing w:before="120" w:line="240" w:lineRule="atLeast"/>
              <w:jc w:val="center"/>
              <w:rPr>
                <w:i/>
                <w:iCs/>
                <w:sz w:val="16"/>
                <w:szCs w:val="20"/>
              </w:rPr>
            </w:pPr>
            <w:r w:rsidRPr="00424388">
              <w:rPr>
                <w:i/>
                <w:iCs/>
                <w:sz w:val="16"/>
                <w:szCs w:val="20"/>
              </w:rPr>
              <w:t>(incl. source and reference date)</w:t>
            </w:r>
          </w:p>
        </w:tc>
        <w:tc>
          <w:tcPr>
            <w:tcW w:w="948" w:type="dxa"/>
            <w:vAlign w:val="center"/>
          </w:tcPr>
          <w:p w14:paraId="4E962937" w14:textId="77777777" w:rsidR="00424388" w:rsidRPr="00424388" w:rsidRDefault="00424388" w:rsidP="009C342A">
            <w:pPr>
              <w:spacing w:before="120" w:line="240" w:lineRule="atLeast"/>
              <w:jc w:val="center"/>
              <w:rPr>
                <w:b/>
                <w:bCs/>
                <w:sz w:val="16"/>
                <w:szCs w:val="20"/>
              </w:rPr>
            </w:pPr>
            <w:r w:rsidRPr="00424388">
              <w:rPr>
                <w:b/>
                <w:bCs/>
                <w:sz w:val="16"/>
                <w:szCs w:val="20"/>
              </w:rPr>
              <w:t>Target</w:t>
            </w:r>
          </w:p>
          <w:p w14:paraId="71B80582" w14:textId="77777777" w:rsidR="00424388" w:rsidRPr="00424388" w:rsidRDefault="00424388" w:rsidP="009C342A">
            <w:pPr>
              <w:spacing w:before="120" w:line="240" w:lineRule="atLeast"/>
              <w:jc w:val="center"/>
              <w:rPr>
                <w:i/>
                <w:iCs/>
                <w:sz w:val="16"/>
                <w:szCs w:val="20"/>
              </w:rPr>
            </w:pPr>
            <w:r w:rsidRPr="00424388">
              <w:rPr>
                <w:i/>
                <w:iCs/>
                <w:sz w:val="16"/>
                <w:szCs w:val="20"/>
              </w:rPr>
              <w:t>(incl. reference date)</w:t>
            </w:r>
          </w:p>
        </w:tc>
        <w:tc>
          <w:tcPr>
            <w:tcW w:w="1352" w:type="dxa"/>
            <w:vMerge/>
          </w:tcPr>
          <w:p w14:paraId="3BB846F6" w14:textId="77777777" w:rsidR="00424388" w:rsidRPr="00424388" w:rsidRDefault="00424388" w:rsidP="009C342A">
            <w:pPr>
              <w:spacing w:before="120" w:line="240" w:lineRule="atLeast"/>
              <w:rPr>
                <w:sz w:val="16"/>
                <w:szCs w:val="20"/>
              </w:rPr>
            </w:pPr>
          </w:p>
        </w:tc>
        <w:tc>
          <w:tcPr>
            <w:tcW w:w="1369" w:type="dxa"/>
            <w:vMerge/>
          </w:tcPr>
          <w:p w14:paraId="2787133A" w14:textId="77777777" w:rsidR="00424388" w:rsidRPr="00424388" w:rsidRDefault="00424388" w:rsidP="009C342A">
            <w:pPr>
              <w:spacing w:before="120" w:line="240" w:lineRule="atLeast"/>
              <w:rPr>
                <w:sz w:val="16"/>
                <w:szCs w:val="20"/>
              </w:rPr>
            </w:pPr>
          </w:p>
        </w:tc>
      </w:tr>
      <w:tr w:rsidR="00424388" w:rsidRPr="002E411F" w14:paraId="376C94FF" w14:textId="77777777" w:rsidTr="00424388">
        <w:tc>
          <w:tcPr>
            <w:tcW w:w="0" w:type="auto"/>
          </w:tcPr>
          <w:p w14:paraId="0EF09EBB" w14:textId="77777777" w:rsidR="00424388" w:rsidRPr="00424388" w:rsidRDefault="00424388" w:rsidP="009C342A">
            <w:pPr>
              <w:spacing w:before="120" w:line="240" w:lineRule="atLeast"/>
              <w:jc w:val="center"/>
              <w:rPr>
                <w:sz w:val="16"/>
                <w:szCs w:val="20"/>
              </w:rPr>
            </w:pPr>
            <w:r w:rsidRPr="00424388">
              <w:rPr>
                <w:sz w:val="16"/>
                <w:szCs w:val="20"/>
              </w:rPr>
              <w:t>Impact</w:t>
            </w:r>
          </w:p>
        </w:tc>
        <w:tc>
          <w:tcPr>
            <w:tcW w:w="0" w:type="auto"/>
          </w:tcPr>
          <w:p w14:paraId="40062CF9" w14:textId="77777777" w:rsidR="00424388" w:rsidRPr="00424388" w:rsidRDefault="00424388" w:rsidP="009C342A">
            <w:pPr>
              <w:spacing w:before="120" w:line="240" w:lineRule="atLeast"/>
              <w:rPr>
                <w:color w:val="00B050"/>
                <w:sz w:val="16"/>
                <w:szCs w:val="20"/>
              </w:rPr>
            </w:pPr>
            <w:r w:rsidRPr="00424388">
              <w:rPr>
                <w:color w:val="000000" w:themeColor="text1"/>
                <w:sz w:val="16"/>
                <w:szCs w:val="20"/>
              </w:rPr>
              <w:t xml:space="preserve">Ministries of finance in the beneficiary Member States enhance processes for integrating environmental considerations into fiscal policies and </w:t>
            </w:r>
            <w:r w:rsidRPr="00424388">
              <w:rPr>
                <w:color w:val="000000" w:themeColor="text1"/>
                <w:sz w:val="16"/>
                <w:szCs w:val="20"/>
              </w:rPr>
              <w:lastRenderedPageBreak/>
              <w:t>public financial management</w:t>
            </w:r>
          </w:p>
        </w:tc>
        <w:tc>
          <w:tcPr>
            <w:tcW w:w="1730" w:type="dxa"/>
          </w:tcPr>
          <w:p w14:paraId="47F81969" w14:textId="77777777" w:rsidR="00424388" w:rsidRPr="00424388" w:rsidRDefault="00424388" w:rsidP="009C342A">
            <w:pPr>
              <w:spacing w:before="120" w:line="240" w:lineRule="atLeast"/>
              <w:rPr>
                <w:color w:val="00B050"/>
                <w:sz w:val="16"/>
                <w:szCs w:val="20"/>
              </w:rPr>
            </w:pPr>
            <w:r w:rsidRPr="00424388">
              <w:rPr>
                <w:color w:val="000000" w:themeColor="text1"/>
                <w:sz w:val="16"/>
                <w:szCs w:val="20"/>
              </w:rPr>
              <w:lastRenderedPageBreak/>
              <w:t>Number of Member States that implemented green budgeting practices</w:t>
            </w:r>
          </w:p>
          <w:p w14:paraId="13F39987" w14:textId="77777777" w:rsidR="00424388" w:rsidRPr="00424388" w:rsidRDefault="00424388" w:rsidP="009C342A">
            <w:pPr>
              <w:spacing w:before="120" w:line="240" w:lineRule="atLeast"/>
              <w:rPr>
                <w:color w:val="00B050"/>
                <w:sz w:val="16"/>
                <w:szCs w:val="20"/>
              </w:rPr>
            </w:pPr>
            <w:r w:rsidRPr="00424388">
              <w:rPr>
                <w:color w:val="00B050"/>
                <w:sz w:val="16"/>
                <w:szCs w:val="20"/>
              </w:rPr>
              <w:t>.</w:t>
            </w:r>
          </w:p>
          <w:p w14:paraId="0355955B" w14:textId="77777777" w:rsidR="00424388" w:rsidRPr="00424388" w:rsidRDefault="00424388" w:rsidP="009C342A">
            <w:pPr>
              <w:spacing w:before="120" w:line="240" w:lineRule="atLeast"/>
              <w:rPr>
                <w:color w:val="00B050"/>
                <w:sz w:val="16"/>
                <w:szCs w:val="20"/>
              </w:rPr>
            </w:pPr>
          </w:p>
          <w:p w14:paraId="054F7836" w14:textId="77777777" w:rsidR="00424388" w:rsidRPr="00424388" w:rsidRDefault="00424388" w:rsidP="009C342A">
            <w:pPr>
              <w:spacing w:before="120" w:line="240" w:lineRule="atLeast"/>
              <w:rPr>
                <w:color w:val="00B050"/>
                <w:sz w:val="16"/>
                <w:szCs w:val="20"/>
              </w:rPr>
            </w:pPr>
          </w:p>
        </w:tc>
        <w:tc>
          <w:tcPr>
            <w:tcW w:w="1452" w:type="dxa"/>
          </w:tcPr>
          <w:p w14:paraId="54C37347" w14:textId="77777777" w:rsidR="00424388" w:rsidRPr="00424388" w:rsidRDefault="00424388" w:rsidP="009C342A">
            <w:pPr>
              <w:spacing w:before="120" w:line="240" w:lineRule="atLeast"/>
              <w:rPr>
                <w:color w:val="00B050"/>
                <w:sz w:val="16"/>
                <w:szCs w:val="20"/>
              </w:rPr>
            </w:pPr>
            <w:r w:rsidRPr="00424388">
              <w:rPr>
                <w:sz w:val="16"/>
                <w:szCs w:val="20"/>
              </w:rPr>
              <w:t xml:space="preserve">5 have implemented green budgeting practices (DK, </w:t>
            </w:r>
            <w:bookmarkStart w:id="0" w:name="_GoBack"/>
            <w:r w:rsidR="002E411F" w:rsidRPr="002E411F">
              <w:fldChar w:fldCharType="begin"/>
            </w:r>
            <w:r w:rsidR="002E411F" w:rsidRPr="002E411F">
              <w:instrText xml:space="preserve"> HYPERLINK "https://www.sepg.pap.hacienda.gob.es/sitios/sepg/en-GB/Presupuestos/InformesImpacto/iapgete2023/Paginas/IATE2023.aspx" \l ":~:text=SEPG:Report%20on%20the%20alignment%20of%20the%20General%20Sta</w:instrText>
            </w:r>
            <w:r w:rsidR="002E411F" w:rsidRPr="002E411F">
              <w:instrText xml:space="preserve">te%20Budget%20with%20the%20Ecological%20Transition.&amp;text=The%20Ministry%20of%20Finance%2C%20through%20the%20General,the%20Recovery%2C%20Transformation%20and%20Resilience%20Plan%20(RTRP)." </w:instrText>
            </w:r>
            <w:r w:rsidR="002E411F" w:rsidRPr="002E411F">
              <w:fldChar w:fldCharType="separate"/>
            </w:r>
            <w:r w:rsidRPr="002E411F">
              <w:rPr>
                <w:rStyle w:val="Lienhypertexte"/>
                <w:color w:val="auto"/>
                <w:sz w:val="16"/>
                <w:szCs w:val="20"/>
                <w:u w:val="none"/>
              </w:rPr>
              <w:t>ES</w:t>
            </w:r>
            <w:r w:rsidR="002E411F" w:rsidRPr="002E411F">
              <w:rPr>
                <w:rStyle w:val="Lienhypertexte"/>
                <w:color w:val="auto"/>
                <w:sz w:val="16"/>
                <w:szCs w:val="20"/>
                <w:u w:val="none"/>
              </w:rPr>
              <w:fldChar w:fldCharType="end"/>
            </w:r>
            <w:r w:rsidRPr="002E411F">
              <w:rPr>
                <w:sz w:val="16"/>
                <w:szCs w:val="20"/>
              </w:rPr>
              <w:t xml:space="preserve">, FR, IE, and </w:t>
            </w:r>
            <w:hyperlink r:id="rId8" w:history="1">
              <w:r w:rsidRPr="002E411F">
                <w:rPr>
                  <w:rStyle w:val="Lienhypertexte"/>
                  <w:color w:val="auto"/>
                  <w:sz w:val="16"/>
                  <w:szCs w:val="20"/>
                  <w:u w:val="none"/>
                </w:rPr>
                <w:t>SI)</w:t>
              </w:r>
            </w:hyperlink>
            <w:r w:rsidRPr="002E411F">
              <w:rPr>
                <w:sz w:val="16"/>
                <w:szCs w:val="20"/>
              </w:rPr>
              <w:t xml:space="preserve">, as </w:t>
            </w:r>
            <w:hyperlink r:id="rId9" w:history="1">
              <w:hyperlink r:id="rId10" w:history="1">
                <w:r w:rsidRPr="002E411F">
                  <w:rPr>
                    <w:rStyle w:val="Lienhypertexte"/>
                    <w:color w:val="auto"/>
                    <w:sz w:val="16"/>
                    <w:szCs w:val="20"/>
                    <w:u w:val="none"/>
                  </w:rPr>
                  <w:t xml:space="preserve">published by DG ECFIN material on </w:t>
                </w:r>
                <w:hyperlink r:id="rId11" w:history="1">
                  <w:hyperlink r:id="rId12" w:anchor="other-relevant-material" w:history="1">
                    <w:r w:rsidRPr="002E411F">
                      <w:rPr>
                        <w:rStyle w:val="Lienhypertexte"/>
                        <w:color w:val="auto"/>
                        <w:sz w:val="16"/>
                        <w:szCs w:val="20"/>
                        <w:u w:val="none"/>
                      </w:rPr>
                      <w:t>progress in 2024</w:t>
                    </w:r>
                  </w:hyperlink>
                  <w:r w:rsidRPr="002E411F">
                    <w:rPr>
                      <w:rStyle w:val="Lienhypertexte"/>
                      <w:color w:val="auto"/>
                      <w:sz w:val="16"/>
                      <w:szCs w:val="20"/>
                      <w:u w:val="none"/>
                    </w:rPr>
                    <w:t>,</w:t>
                  </w:r>
                </w:hyperlink>
                <w:r w:rsidRPr="002E411F">
                  <w:rPr>
                    <w:rStyle w:val="Lienhypertexte"/>
                    <w:color w:val="auto"/>
                    <w:sz w:val="16"/>
                    <w:szCs w:val="20"/>
                    <w:u w:val="none"/>
                  </w:rPr>
                  <w:t xml:space="preserve">  a</w:t>
                </w:r>
              </w:hyperlink>
            </w:hyperlink>
            <w:bookmarkEnd w:id="0"/>
            <w:r w:rsidRPr="00424388">
              <w:rPr>
                <w:sz w:val="16"/>
                <w:szCs w:val="20"/>
              </w:rPr>
              <w:t xml:space="preserve">nd the respective </w:t>
            </w:r>
            <w:r w:rsidRPr="00424388">
              <w:rPr>
                <w:sz w:val="16"/>
                <w:szCs w:val="20"/>
              </w:rPr>
              <w:lastRenderedPageBreak/>
              <w:t xml:space="preserve">national institutions </w:t>
            </w:r>
          </w:p>
        </w:tc>
        <w:tc>
          <w:tcPr>
            <w:tcW w:w="948" w:type="dxa"/>
          </w:tcPr>
          <w:p w14:paraId="692A4574" w14:textId="77777777" w:rsidR="00424388" w:rsidRPr="00424388" w:rsidRDefault="00424388" w:rsidP="009C342A">
            <w:pPr>
              <w:spacing w:before="120" w:line="240" w:lineRule="atLeast"/>
              <w:rPr>
                <w:color w:val="00B050"/>
                <w:sz w:val="16"/>
                <w:szCs w:val="20"/>
              </w:rPr>
            </w:pPr>
            <w:r w:rsidRPr="00424388">
              <w:rPr>
                <w:sz w:val="16"/>
                <w:szCs w:val="20"/>
              </w:rPr>
              <w:lastRenderedPageBreak/>
              <w:t>5</w:t>
            </w:r>
          </w:p>
        </w:tc>
        <w:tc>
          <w:tcPr>
            <w:tcW w:w="1352" w:type="dxa"/>
          </w:tcPr>
          <w:p w14:paraId="15B76B1B" w14:textId="77777777" w:rsidR="00424388" w:rsidRPr="00424388" w:rsidRDefault="00424388" w:rsidP="009C342A">
            <w:pPr>
              <w:spacing w:before="120" w:after="240" w:line="240" w:lineRule="atLeast"/>
              <w:rPr>
                <w:color w:val="00B050"/>
                <w:sz w:val="16"/>
                <w:szCs w:val="20"/>
              </w:rPr>
            </w:pPr>
            <w:r w:rsidRPr="00424388">
              <w:rPr>
                <w:color w:val="000000" w:themeColor="text1"/>
                <w:sz w:val="16"/>
                <w:szCs w:val="20"/>
              </w:rPr>
              <w:t>DG ECFIN Green Budgeting Survey and publications, JRC research repository, OECD Green Budgeting publications</w:t>
            </w:r>
          </w:p>
        </w:tc>
        <w:tc>
          <w:tcPr>
            <w:tcW w:w="1369" w:type="dxa"/>
          </w:tcPr>
          <w:p w14:paraId="389496DE" w14:textId="77777777" w:rsidR="00424388" w:rsidRPr="00424388" w:rsidRDefault="00424388" w:rsidP="009C342A">
            <w:pPr>
              <w:spacing w:before="120" w:line="240" w:lineRule="atLeast"/>
              <w:rPr>
                <w:color w:val="00B050"/>
                <w:sz w:val="16"/>
                <w:szCs w:val="20"/>
              </w:rPr>
            </w:pPr>
          </w:p>
        </w:tc>
      </w:tr>
      <w:tr w:rsidR="00424388" w:rsidRPr="002E411F" w14:paraId="63C5129A" w14:textId="77777777" w:rsidTr="00424388">
        <w:trPr>
          <w:trHeight w:val="2380"/>
        </w:trPr>
        <w:tc>
          <w:tcPr>
            <w:tcW w:w="0" w:type="auto"/>
            <w:vMerge w:val="restart"/>
          </w:tcPr>
          <w:p w14:paraId="5B9CC603" w14:textId="77777777" w:rsidR="00424388" w:rsidRPr="00424388" w:rsidRDefault="00424388" w:rsidP="009C342A">
            <w:pPr>
              <w:spacing w:before="120" w:line="240" w:lineRule="atLeast"/>
              <w:jc w:val="center"/>
              <w:rPr>
                <w:sz w:val="16"/>
                <w:szCs w:val="20"/>
              </w:rPr>
            </w:pPr>
            <w:r w:rsidRPr="00424388">
              <w:rPr>
                <w:sz w:val="16"/>
                <w:szCs w:val="20"/>
              </w:rPr>
              <w:lastRenderedPageBreak/>
              <w:t>Outcome(s)</w:t>
            </w:r>
          </w:p>
        </w:tc>
        <w:tc>
          <w:tcPr>
            <w:tcW w:w="0" w:type="auto"/>
          </w:tcPr>
          <w:p w14:paraId="286556F4" w14:textId="77777777" w:rsidR="00424388" w:rsidRPr="00424388" w:rsidRDefault="00424388" w:rsidP="009C342A">
            <w:pPr>
              <w:spacing w:before="120" w:after="240" w:line="240" w:lineRule="atLeast"/>
              <w:rPr>
                <w:color w:val="000000"/>
                <w:sz w:val="16"/>
                <w:szCs w:val="20"/>
              </w:rPr>
            </w:pPr>
            <w:r w:rsidRPr="00424388">
              <w:rPr>
                <w:color w:val="000000"/>
                <w:sz w:val="16"/>
                <w:szCs w:val="20"/>
              </w:rPr>
              <w:t>The beneficiary administrations     strengthen their governance and inter-ministerial coordination for implementing green budgeting</w:t>
            </w:r>
          </w:p>
        </w:tc>
        <w:tc>
          <w:tcPr>
            <w:tcW w:w="1730" w:type="dxa"/>
          </w:tcPr>
          <w:p w14:paraId="52C59DC4" w14:textId="77777777" w:rsidR="00424388" w:rsidRPr="00424388" w:rsidRDefault="00424388" w:rsidP="009C342A">
            <w:pPr>
              <w:spacing w:before="120" w:line="240" w:lineRule="atLeast"/>
              <w:rPr>
                <w:color w:val="00B050"/>
                <w:sz w:val="16"/>
                <w:szCs w:val="20"/>
              </w:rPr>
            </w:pPr>
            <w:r w:rsidRPr="00424388">
              <w:rPr>
                <w:color w:val="000000" w:themeColor="text1"/>
                <w:sz w:val="16"/>
                <w:szCs w:val="20"/>
                <w:lang w:val="en-US"/>
              </w:rPr>
              <w:t>Number of MS who applied recommendations to improve task force groups</w:t>
            </w:r>
            <w:r w:rsidRPr="00424388">
              <w:rPr>
                <w:color w:val="00B050"/>
                <w:sz w:val="16"/>
                <w:szCs w:val="20"/>
                <w:lang w:val="en-US"/>
              </w:rPr>
              <w:t xml:space="preserve"> </w:t>
            </w:r>
          </w:p>
          <w:p w14:paraId="02423ADA" w14:textId="77777777" w:rsidR="00424388" w:rsidRPr="00424388" w:rsidRDefault="00424388" w:rsidP="009C342A">
            <w:pPr>
              <w:spacing w:before="120" w:line="240" w:lineRule="atLeast"/>
              <w:rPr>
                <w:color w:val="00B050"/>
                <w:sz w:val="16"/>
                <w:szCs w:val="20"/>
              </w:rPr>
            </w:pPr>
          </w:p>
        </w:tc>
        <w:tc>
          <w:tcPr>
            <w:tcW w:w="1452" w:type="dxa"/>
          </w:tcPr>
          <w:p w14:paraId="41D87E15" w14:textId="77777777" w:rsidR="00424388" w:rsidRPr="00424388" w:rsidRDefault="00424388" w:rsidP="009C342A">
            <w:pPr>
              <w:spacing w:before="120" w:line="240" w:lineRule="atLeast"/>
              <w:rPr>
                <w:sz w:val="16"/>
                <w:szCs w:val="20"/>
              </w:rPr>
            </w:pPr>
            <w:r w:rsidRPr="00424388">
              <w:rPr>
                <w:sz w:val="16"/>
                <w:szCs w:val="20"/>
              </w:rPr>
              <w:t>2 (ES and SI) achieved through the previous TSI on Green Budgeting training, as reported in June 2024 by BA and Expertise France final narrative report of the project.</w:t>
            </w:r>
          </w:p>
        </w:tc>
        <w:tc>
          <w:tcPr>
            <w:tcW w:w="948" w:type="dxa"/>
          </w:tcPr>
          <w:p w14:paraId="2969D103" w14:textId="77777777" w:rsidR="00424388" w:rsidRPr="00424388" w:rsidRDefault="00424388" w:rsidP="009C342A">
            <w:pPr>
              <w:spacing w:before="120" w:line="240" w:lineRule="atLeast"/>
              <w:rPr>
                <w:color w:val="00B050"/>
                <w:sz w:val="16"/>
                <w:szCs w:val="20"/>
              </w:rPr>
            </w:pPr>
            <w:r w:rsidRPr="00424388">
              <w:rPr>
                <w:color w:val="000000" w:themeColor="text1"/>
                <w:sz w:val="16"/>
                <w:szCs w:val="20"/>
              </w:rPr>
              <w:t>5</w:t>
            </w:r>
          </w:p>
        </w:tc>
        <w:tc>
          <w:tcPr>
            <w:tcW w:w="1352" w:type="dxa"/>
          </w:tcPr>
          <w:p w14:paraId="5B84215A" w14:textId="77777777" w:rsidR="00424388" w:rsidRPr="00424388" w:rsidRDefault="00424388" w:rsidP="009C342A">
            <w:pPr>
              <w:spacing w:before="120" w:line="240" w:lineRule="atLeast"/>
              <w:rPr>
                <w:color w:val="00B050"/>
                <w:sz w:val="16"/>
                <w:szCs w:val="20"/>
              </w:rPr>
            </w:pPr>
            <w:r w:rsidRPr="00424388">
              <w:rPr>
                <w:color w:val="000000"/>
                <w:sz w:val="16"/>
                <w:szCs w:val="20"/>
              </w:rPr>
              <w:t>Interviews, final report, technical reports with tagging methodologies, project monitoring tool</w:t>
            </w:r>
          </w:p>
        </w:tc>
        <w:tc>
          <w:tcPr>
            <w:tcW w:w="1369" w:type="dxa"/>
          </w:tcPr>
          <w:p w14:paraId="77005B8C" w14:textId="77777777" w:rsidR="00424388" w:rsidRPr="00424388" w:rsidRDefault="00424388" w:rsidP="009C342A">
            <w:pPr>
              <w:spacing w:before="120" w:line="240" w:lineRule="atLeast"/>
              <w:rPr>
                <w:color w:val="00B050"/>
                <w:sz w:val="16"/>
                <w:szCs w:val="20"/>
              </w:rPr>
            </w:pPr>
            <w:r w:rsidRPr="00424388">
              <w:rPr>
                <w:color w:val="000000" w:themeColor="text1"/>
                <w:sz w:val="16"/>
                <w:szCs w:val="20"/>
              </w:rPr>
              <w:t>Directors, Head of Units, and Head of Departments in the beneficiary MSs show commitment to advance PFM green reforms</w:t>
            </w:r>
          </w:p>
        </w:tc>
      </w:tr>
      <w:tr w:rsidR="00424388" w:rsidRPr="002E411F" w14:paraId="7E3BB27B" w14:textId="77777777" w:rsidTr="00424388">
        <w:trPr>
          <w:trHeight w:val="1870"/>
        </w:trPr>
        <w:tc>
          <w:tcPr>
            <w:tcW w:w="0" w:type="auto"/>
            <w:vMerge/>
          </w:tcPr>
          <w:p w14:paraId="1A678AD2" w14:textId="77777777" w:rsidR="00424388" w:rsidRPr="00424388" w:rsidRDefault="00424388" w:rsidP="009C342A">
            <w:pPr>
              <w:spacing w:before="120" w:line="240" w:lineRule="atLeast"/>
              <w:jc w:val="center"/>
              <w:rPr>
                <w:color w:val="000000"/>
                <w:sz w:val="16"/>
                <w:szCs w:val="20"/>
              </w:rPr>
            </w:pPr>
          </w:p>
        </w:tc>
        <w:tc>
          <w:tcPr>
            <w:tcW w:w="0" w:type="auto"/>
          </w:tcPr>
          <w:p w14:paraId="11454AD9" w14:textId="77777777" w:rsidR="00424388" w:rsidRPr="00424388" w:rsidRDefault="00424388" w:rsidP="009C342A">
            <w:pPr>
              <w:spacing w:before="120" w:after="240" w:line="240" w:lineRule="atLeast"/>
              <w:rPr>
                <w:color w:val="000000"/>
                <w:sz w:val="16"/>
                <w:szCs w:val="20"/>
              </w:rPr>
            </w:pPr>
            <w:r w:rsidRPr="00424388">
              <w:rPr>
                <w:color w:val="000000"/>
                <w:sz w:val="16"/>
                <w:szCs w:val="20"/>
                <w:lang w:val="en-US"/>
              </w:rPr>
              <w:t>The beneficiary administrations enhance their capacity for tracking and reporting green expenditure through methodological guidance, training and peer learning</w:t>
            </w:r>
          </w:p>
          <w:p w14:paraId="2A550EEC" w14:textId="77777777" w:rsidR="00424388" w:rsidRPr="00424388" w:rsidRDefault="00424388" w:rsidP="009C342A">
            <w:pPr>
              <w:spacing w:before="120" w:after="240" w:line="240" w:lineRule="atLeast"/>
              <w:rPr>
                <w:color w:val="000000"/>
                <w:sz w:val="16"/>
                <w:szCs w:val="20"/>
              </w:rPr>
            </w:pPr>
          </w:p>
        </w:tc>
        <w:tc>
          <w:tcPr>
            <w:tcW w:w="1730" w:type="dxa"/>
          </w:tcPr>
          <w:p w14:paraId="1C2A2E08" w14:textId="77777777" w:rsidR="00424388" w:rsidRPr="00424388" w:rsidRDefault="00424388" w:rsidP="009C342A">
            <w:pPr>
              <w:spacing w:before="120" w:line="240" w:lineRule="atLeast"/>
              <w:rPr>
                <w:color w:val="000000"/>
                <w:sz w:val="16"/>
                <w:szCs w:val="20"/>
              </w:rPr>
            </w:pPr>
            <w:r w:rsidRPr="00424388">
              <w:rPr>
                <w:color w:val="000000"/>
                <w:sz w:val="16"/>
                <w:szCs w:val="20"/>
              </w:rPr>
              <w:t>Number of ministries of finances that improved green budgeting tools</w:t>
            </w:r>
          </w:p>
        </w:tc>
        <w:tc>
          <w:tcPr>
            <w:tcW w:w="1452" w:type="dxa"/>
          </w:tcPr>
          <w:p w14:paraId="1934A886" w14:textId="77777777" w:rsidR="00424388" w:rsidRPr="00424388" w:rsidRDefault="00424388" w:rsidP="009C342A">
            <w:pPr>
              <w:spacing w:before="120" w:line="240" w:lineRule="atLeast"/>
              <w:rPr>
                <w:color w:val="000000"/>
                <w:sz w:val="16"/>
                <w:szCs w:val="20"/>
              </w:rPr>
            </w:pPr>
            <w:r w:rsidRPr="00424388">
              <w:rPr>
                <w:color w:val="000000"/>
                <w:sz w:val="16"/>
                <w:szCs w:val="20"/>
              </w:rPr>
              <w:t xml:space="preserve">5 (ES, HR, IE, SI, PT) achieved through the previous TSI on Green Budgeting training, as reported in June 2024 by BA and Expertise France final narrative report of the project. </w:t>
            </w:r>
          </w:p>
        </w:tc>
        <w:tc>
          <w:tcPr>
            <w:tcW w:w="948" w:type="dxa"/>
          </w:tcPr>
          <w:p w14:paraId="1431D853" w14:textId="77777777" w:rsidR="00424388" w:rsidRPr="00424388" w:rsidRDefault="00424388" w:rsidP="009C342A">
            <w:pPr>
              <w:spacing w:before="120" w:line="240" w:lineRule="atLeast"/>
              <w:rPr>
                <w:color w:val="000000"/>
                <w:sz w:val="16"/>
                <w:szCs w:val="20"/>
              </w:rPr>
            </w:pPr>
            <w:r w:rsidRPr="00424388">
              <w:rPr>
                <w:color w:val="000000"/>
                <w:sz w:val="16"/>
                <w:szCs w:val="20"/>
              </w:rPr>
              <w:t>10</w:t>
            </w:r>
          </w:p>
        </w:tc>
        <w:tc>
          <w:tcPr>
            <w:tcW w:w="1352" w:type="dxa"/>
          </w:tcPr>
          <w:p w14:paraId="5744B21B" w14:textId="77777777" w:rsidR="00424388" w:rsidRPr="00424388" w:rsidRDefault="00424388" w:rsidP="009C342A">
            <w:pPr>
              <w:spacing w:before="120" w:line="240" w:lineRule="atLeast"/>
              <w:rPr>
                <w:color w:val="000000"/>
                <w:sz w:val="16"/>
                <w:szCs w:val="20"/>
              </w:rPr>
            </w:pPr>
            <w:r w:rsidRPr="00424388">
              <w:rPr>
                <w:color w:val="000000"/>
                <w:sz w:val="16"/>
                <w:szCs w:val="20"/>
              </w:rPr>
              <w:t>Final report, interviews, technical reports with tagging methodologies, project monitoring tool,  knowledge assessment surveys</w:t>
            </w:r>
          </w:p>
        </w:tc>
        <w:tc>
          <w:tcPr>
            <w:tcW w:w="1369" w:type="dxa"/>
          </w:tcPr>
          <w:p w14:paraId="01719A5E" w14:textId="77777777" w:rsidR="00424388" w:rsidRPr="00424388" w:rsidRDefault="00424388" w:rsidP="009C342A">
            <w:pPr>
              <w:spacing w:before="120" w:line="240" w:lineRule="atLeast"/>
              <w:rPr>
                <w:color w:val="000000"/>
                <w:sz w:val="16"/>
                <w:szCs w:val="20"/>
              </w:rPr>
            </w:pPr>
            <w:r w:rsidRPr="00424388">
              <w:rPr>
                <w:color w:val="000000"/>
                <w:sz w:val="16"/>
                <w:szCs w:val="20"/>
              </w:rPr>
              <w:t>Civils servants engage in developing green budgeting tools and mobilising key actors among Ministries of Finance</w:t>
            </w:r>
          </w:p>
        </w:tc>
      </w:tr>
      <w:tr w:rsidR="00424388" w:rsidRPr="002E411F" w14:paraId="40C0D880" w14:textId="77777777" w:rsidTr="00424388">
        <w:tc>
          <w:tcPr>
            <w:tcW w:w="0" w:type="auto"/>
          </w:tcPr>
          <w:p w14:paraId="533B0A93" w14:textId="77777777" w:rsidR="00424388" w:rsidRPr="00424388" w:rsidRDefault="00424388" w:rsidP="009C342A">
            <w:pPr>
              <w:spacing w:before="120" w:line="240" w:lineRule="atLeast"/>
              <w:jc w:val="center"/>
              <w:rPr>
                <w:sz w:val="16"/>
                <w:szCs w:val="20"/>
              </w:rPr>
            </w:pPr>
            <w:r w:rsidRPr="00424388">
              <w:rPr>
                <w:sz w:val="16"/>
                <w:szCs w:val="20"/>
              </w:rPr>
              <w:t>Output 1</w:t>
            </w:r>
          </w:p>
        </w:tc>
        <w:tc>
          <w:tcPr>
            <w:tcW w:w="0" w:type="auto"/>
          </w:tcPr>
          <w:p w14:paraId="1B119261" w14:textId="77777777" w:rsidR="00424388" w:rsidRPr="00424388" w:rsidRDefault="00424388" w:rsidP="009C342A">
            <w:pPr>
              <w:spacing w:before="120" w:line="240" w:lineRule="atLeast"/>
              <w:rPr>
                <w:color w:val="00B050"/>
                <w:sz w:val="16"/>
                <w:szCs w:val="20"/>
              </w:rPr>
            </w:pPr>
            <w:r w:rsidRPr="00424388">
              <w:rPr>
                <w:sz w:val="16"/>
                <w:szCs w:val="20"/>
              </w:rPr>
              <w:t>Inception report</w:t>
            </w:r>
          </w:p>
        </w:tc>
        <w:tc>
          <w:tcPr>
            <w:tcW w:w="1730" w:type="dxa"/>
          </w:tcPr>
          <w:p w14:paraId="0C295913" w14:textId="77777777" w:rsidR="00424388" w:rsidRPr="00424388" w:rsidRDefault="00424388" w:rsidP="009C342A">
            <w:pPr>
              <w:spacing w:before="120" w:line="240" w:lineRule="atLeast"/>
              <w:rPr>
                <w:color w:val="000000"/>
                <w:sz w:val="16"/>
                <w:szCs w:val="20"/>
              </w:rPr>
            </w:pPr>
            <w:r w:rsidRPr="00424388">
              <w:rPr>
                <w:color w:val="000000"/>
                <w:sz w:val="16"/>
                <w:szCs w:val="20"/>
              </w:rPr>
              <w:t>Number of joint reports</w:t>
            </w:r>
          </w:p>
        </w:tc>
        <w:tc>
          <w:tcPr>
            <w:tcW w:w="1452" w:type="dxa"/>
          </w:tcPr>
          <w:p w14:paraId="294AEC78" w14:textId="77777777" w:rsidR="00424388" w:rsidRPr="00424388" w:rsidRDefault="00424388" w:rsidP="009C342A">
            <w:pPr>
              <w:spacing w:before="120" w:line="240" w:lineRule="atLeast"/>
              <w:rPr>
                <w:color w:val="000000"/>
                <w:sz w:val="16"/>
                <w:szCs w:val="20"/>
              </w:rPr>
            </w:pPr>
            <w:r w:rsidRPr="00424388">
              <w:rPr>
                <w:color w:val="000000"/>
                <w:sz w:val="16"/>
                <w:szCs w:val="20"/>
              </w:rPr>
              <w:t>0</w:t>
            </w:r>
          </w:p>
        </w:tc>
        <w:tc>
          <w:tcPr>
            <w:tcW w:w="948" w:type="dxa"/>
          </w:tcPr>
          <w:p w14:paraId="3A5E84C5" w14:textId="77777777" w:rsidR="00424388" w:rsidRPr="00424388" w:rsidRDefault="00424388" w:rsidP="009C342A">
            <w:pPr>
              <w:spacing w:before="120" w:line="240" w:lineRule="atLeast"/>
              <w:rPr>
                <w:color w:val="000000"/>
                <w:sz w:val="16"/>
                <w:szCs w:val="20"/>
              </w:rPr>
            </w:pPr>
            <w:r w:rsidRPr="00424388">
              <w:rPr>
                <w:color w:val="000000"/>
                <w:sz w:val="16"/>
                <w:szCs w:val="20"/>
              </w:rPr>
              <w:t>1</w:t>
            </w:r>
          </w:p>
        </w:tc>
        <w:tc>
          <w:tcPr>
            <w:tcW w:w="1352" w:type="dxa"/>
          </w:tcPr>
          <w:p w14:paraId="571856DA" w14:textId="77777777" w:rsidR="00424388" w:rsidRPr="00424388" w:rsidRDefault="00424388" w:rsidP="009C342A">
            <w:pPr>
              <w:spacing w:before="120" w:line="240" w:lineRule="atLeast"/>
              <w:rPr>
                <w:color w:val="000000" w:themeColor="text1"/>
                <w:sz w:val="16"/>
                <w:szCs w:val="20"/>
              </w:rPr>
            </w:pPr>
            <w:r w:rsidRPr="00424388">
              <w:rPr>
                <w:color w:val="000000" w:themeColor="text1"/>
                <w:sz w:val="16"/>
                <w:szCs w:val="20"/>
              </w:rPr>
              <w:t>Inception report findings</w:t>
            </w:r>
          </w:p>
        </w:tc>
        <w:tc>
          <w:tcPr>
            <w:tcW w:w="1369" w:type="dxa"/>
          </w:tcPr>
          <w:p w14:paraId="5BC8C881" w14:textId="77777777" w:rsidR="00424388" w:rsidRPr="00424388" w:rsidRDefault="00424388" w:rsidP="009C342A">
            <w:pPr>
              <w:spacing w:before="120" w:line="240" w:lineRule="atLeast"/>
              <w:rPr>
                <w:color w:val="000000" w:themeColor="text1"/>
                <w:sz w:val="16"/>
                <w:szCs w:val="20"/>
              </w:rPr>
            </w:pPr>
            <w:r w:rsidRPr="00424388">
              <w:rPr>
                <w:color w:val="000000" w:themeColor="text1"/>
                <w:sz w:val="16"/>
                <w:szCs w:val="20"/>
              </w:rPr>
              <w:t>Focal points and technical staff provide local experts with  relevant documents, participate in technical briefings and mobilise relevant decision-makers in the Ministry of Finance</w:t>
            </w:r>
          </w:p>
        </w:tc>
      </w:tr>
      <w:tr w:rsidR="00424388" w:rsidRPr="002E411F" w14:paraId="03EF02AB" w14:textId="77777777" w:rsidTr="00424388">
        <w:trPr>
          <w:trHeight w:val="1087"/>
        </w:trPr>
        <w:tc>
          <w:tcPr>
            <w:tcW w:w="0" w:type="auto"/>
            <w:vMerge w:val="restart"/>
          </w:tcPr>
          <w:p w14:paraId="746F9273" w14:textId="77777777" w:rsidR="00424388" w:rsidRPr="00424388" w:rsidRDefault="00424388" w:rsidP="009C342A">
            <w:pPr>
              <w:spacing w:before="120" w:line="240" w:lineRule="atLeast"/>
              <w:jc w:val="center"/>
              <w:rPr>
                <w:i/>
                <w:iCs/>
                <w:sz w:val="16"/>
                <w:szCs w:val="20"/>
              </w:rPr>
            </w:pPr>
            <w:r w:rsidRPr="00424388">
              <w:rPr>
                <w:sz w:val="16"/>
                <w:szCs w:val="20"/>
              </w:rPr>
              <w:t xml:space="preserve">Output </w:t>
            </w:r>
            <w:r w:rsidRPr="00424388">
              <w:rPr>
                <w:color w:val="000000"/>
                <w:sz w:val="16"/>
                <w:szCs w:val="20"/>
              </w:rPr>
              <w:t>3</w:t>
            </w:r>
          </w:p>
        </w:tc>
        <w:tc>
          <w:tcPr>
            <w:tcW w:w="0" w:type="auto"/>
            <w:vMerge w:val="restart"/>
          </w:tcPr>
          <w:p w14:paraId="77522E39" w14:textId="77777777" w:rsidR="00424388" w:rsidRPr="00424388" w:rsidRDefault="00424388" w:rsidP="009C342A">
            <w:pPr>
              <w:spacing w:before="120" w:line="240" w:lineRule="atLeast"/>
              <w:rPr>
                <w:iCs/>
                <w:sz w:val="16"/>
                <w:szCs w:val="20"/>
              </w:rPr>
            </w:pPr>
            <w:r w:rsidRPr="00424388">
              <w:rPr>
                <w:iCs/>
                <w:sz w:val="16"/>
                <w:szCs w:val="20"/>
              </w:rPr>
              <w:t>Technical report tagging methodologies package</w:t>
            </w:r>
          </w:p>
        </w:tc>
        <w:tc>
          <w:tcPr>
            <w:tcW w:w="1730" w:type="dxa"/>
          </w:tcPr>
          <w:p w14:paraId="26C44901"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Number of created tailored tagging methodologies</w:t>
            </w:r>
          </w:p>
          <w:p w14:paraId="53316E6C" w14:textId="77777777" w:rsidR="00424388" w:rsidRPr="00424388" w:rsidRDefault="00424388" w:rsidP="009C342A">
            <w:pPr>
              <w:spacing w:before="120" w:line="240" w:lineRule="atLeast"/>
              <w:rPr>
                <w:iCs/>
                <w:color w:val="000000"/>
                <w:sz w:val="16"/>
                <w:szCs w:val="20"/>
              </w:rPr>
            </w:pPr>
          </w:p>
        </w:tc>
        <w:tc>
          <w:tcPr>
            <w:tcW w:w="1452" w:type="dxa"/>
          </w:tcPr>
          <w:p w14:paraId="2A6614E1"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0</w:t>
            </w:r>
          </w:p>
        </w:tc>
        <w:tc>
          <w:tcPr>
            <w:tcW w:w="948" w:type="dxa"/>
          </w:tcPr>
          <w:p w14:paraId="293BC7F1"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5</w:t>
            </w:r>
          </w:p>
        </w:tc>
        <w:tc>
          <w:tcPr>
            <w:tcW w:w="1352" w:type="dxa"/>
            <w:vMerge w:val="restart"/>
          </w:tcPr>
          <w:p w14:paraId="757237F9" w14:textId="77777777" w:rsidR="00424388" w:rsidRPr="00424388" w:rsidRDefault="00424388" w:rsidP="009C342A">
            <w:pPr>
              <w:spacing w:before="120" w:line="240" w:lineRule="atLeast"/>
              <w:rPr>
                <w:i/>
                <w:sz w:val="16"/>
                <w:szCs w:val="20"/>
              </w:rPr>
            </w:pPr>
            <w:r w:rsidRPr="00424388">
              <w:rPr>
                <w:iCs/>
                <w:sz w:val="16"/>
                <w:szCs w:val="20"/>
              </w:rPr>
              <w:t>Technical reports with tagging methodologie</w:t>
            </w:r>
            <w:r w:rsidRPr="00424388">
              <w:rPr>
                <w:i/>
                <w:sz w:val="16"/>
                <w:szCs w:val="20"/>
              </w:rPr>
              <w:t>s</w:t>
            </w:r>
          </w:p>
        </w:tc>
        <w:tc>
          <w:tcPr>
            <w:tcW w:w="1369" w:type="dxa"/>
            <w:vMerge w:val="restart"/>
          </w:tcPr>
          <w:p w14:paraId="39DA39FA" w14:textId="77777777" w:rsidR="00424388" w:rsidRPr="00424388" w:rsidRDefault="00424388" w:rsidP="009C342A">
            <w:pPr>
              <w:spacing w:before="120" w:line="240" w:lineRule="atLeast"/>
              <w:rPr>
                <w:iCs/>
                <w:sz w:val="16"/>
                <w:szCs w:val="20"/>
              </w:rPr>
            </w:pPr>
            <w:r w:rsidRPr="00424388">
              <w:rPr>
                <w:iCs/>
                <w:sz w:val="16"/>
                <w:szCs w:val="20"/>
              </w:rPr>
              <w:t>Focal points and technical staff  collaborate with the experts in the development and pilot implementation of the methodologies</w:t>
            </w:r>
          </w:p>
        </w:tc>
      </w:tr>
      <w:tr w:rsidR="00424388" w:rsidRPr="00424388" w14:paraId="27434A14" w14:textId="77777777" w:rsidTr="00424388">
        <w:trPr>
          <w:trHeight w:val="655"/>
        </w:trPr>
        <w:tc>
          <w:tcPr>
            <w:tcW w:w="0" w:type="auto"/>
            <w:vMerge/>
          </w:tcPr>
          <w:p w14:paraId="0345FB3E" w14:textId="77777777" w:rsidR="00424388" w:rsidRPr="00424388" w:rsidRDefault="00424388" w:rsidP="009C342A">
            <w:pPr>
              <w:spacing w:before="120" w:line="240" w:lineRule="atLeast"/>
              <w:jc w:val="center"/>
              <w:rPr>
                <w:sz w:val="16"/>
                <w:szCs w:val="20"/>
              </w:rPr>
            </w:pPr>
          </w:p>
        </w:tc>
        <w:tc>
          <w:tcPr>
            <w:tcW w:w="0" w:type="auto"/>
            <w:vMerge/>
          </w:tcPr>
          <w:p w14:paraId="2EC437F1" w14:textId="77777777" w:rsidR="00424388" w:rsidRPr="00424388" w:rsidRDefault="00424388" w:rsidP="009C342A">
            <w:pPr>
              <w:spacing w:before="120" w:line="240" w:lineRule="atLeast"/>
              <w:rPr>
                <w:iCs/>
                <w:sz w:val="16"/>
                <w:szCs w:val="20"/>
              </w:rPr>
            </w:pPr>
          </w:p>
        </w:tc>
        <w:tc>
          <w:tcPr>
            <w:tcW w:w="1730" w:type="dxa"/>
          </w:tcPr>
          <w:p w14:paraId="38A2D7CB"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Number of horizontal reports on budget tagging</w:t>
            </w:r>
          </w:p>
        </w:tc>
        <w:tc>
          <w:tcPr>
            <w:tcW w:w="1452" w:type="dxa"/>
          </w:tcPr>
          <w:p w14:paraId="5A3D5CEA"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0</w:t>
            </w:r>
          </w:p>
        </w:tc>
        <w:tc>
          <w:tcPr>
            <w:tcW w:w="948" w:type="dxa"/>
          </w:tcPr>
          <w:p w14:paraId="7F22527F"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1</w:t>
            </w:r>
          </w:p>
        </w:tc>
        <w:tc>
          <w:tcPr>
            <w:tcW w:w="1352" w:type="dxa"/>
            <w:vMerge/>
          </w:tcPr>
          <w:p w14:paraId="62C3DC01" w14:textId="77777777" w:rsidR="00424388" w:rsidRPr="00424388" w:rsidRDefault="00424388" w:rsidP="009C342A">
            <w:pPr>
              <w:spacing w:before="120" w:line="240" w:lineRule="atLeast"/>
              <w:rPr>
                <w:iCs/>
                <w:sz w:val="16"/>
                <w:szCs w:val="20"/>
              </w:rPr>
            </w:pPr>
          </w:p>
        </w:tc>
        <w:tc>
          <w:tcPr>
            <w:tcW w:w="1369" w:type="dxa"/>
            <w:vMerge/>
          </w:tcPr>
          <w:p w14:paraId="0EDBF499" w14:textId="77777777" w:rsidR="00424388" w:rsidRPr="00424388" w:rsidRDefault="00424388" w:rsidP="009C342A">
            <w:pPr>
              <w:spacing w:before="120" w:line="240" w:lineRule="atLeast"/>
              <w:rPr>
                <w:i/>
                <w:sz w:val="16"/>
                <w:szCs w:val="20"/>
              </w:rPr>
            </w:pPr>
          </w:p>
        </w:tc>
      </w:tr>
      <w:tr w:rsidR="00424388" w:rsidRPr="002E411F" w14:paraId="09B1670D" w14:textId="77777777" w:rsidTr="00424388">
        <w:trPr>
          <w:trHeight w:val="1118"/>
        </w:trPr>
        <w:tc>
          <w:tcPr>
            <w:tcW w:w="0" w:type="auto"/>
            <w:vMerge w:val="restart"/>
          </w:tcPr>
          <w:p w14:paraId="5B7DB974" w14:textId="77777777" w:rsidR="00424388" w:rsidRPr="00424388" w:rsidRDefault="00424388" w:rsidP="009C342A">
            <w:pPr>
              <w:spacing w:before="120" w:line="240" w:lineRule="atLeast"/>
              <w:jc w:val="center"/>
              <w:rPr>
                <w:sz w:val="16"/>
                <w:szCs w:val="20"/>
              </w:rPr>
            </w:pPr>
            <w:r w:rsidRPr="00424388">
              <w:rPr>
                <w:sz w:val="16"/>
                <w:szCs w:val="20"/>
              </w:rPr>
              <w:lastRenderedPageBreak/>
              <w:t xml:space="preserve">Output </w:t>
            </w:r>
            <w:r w:rsidRPr="00424388">
              <w:rPr>
                <w:color w:val="000000"/>
                <w:sz w:val="16"/>
                <w:szCs w:val="20"/>
              </w:rPr>
              <w:t xml:space="preserve">4 </w:t>
            </w:r>
          </w:p>
        </w:tc>
        <w:tc>
          <w:tcPr>
            <w:tcW w:w="0" w:type="auto"/>
            <w:vMerge w:val="restart"/>
          </w:tcPr>
          <w:p w14:paraId="01408F54" w14:textId="77777777" w:rsidR="00424388" w:rsidRPr="00424388" w:rsidRDefault="00424388" w:rsidP="009C342A">
            <w:pPr>
              <w:spacing w:before="120" w:line="240" w:lineRule="atLeast"/>
              <w:rPr>
                <w:iCs/>
                <w:sz w:val="16"/>
                <w:szCs w:val="20"/>
              </w:rPr>
            </w:pPr>
            <w:r w:rsidRPr="00424388">
              <w:rPr>
                <w:iCs/>
                <w:sz w:val="16"/>
                <w:szCs w:val="20"/>
              </w:rPr>
              <w:t>Report with guidelines on other green budgeting practices (training material)</w:t>
            </w:r>
          </w:p>
        </w:tc>
        <w:tc>
          <w:tcPr>
            <w:tcW w:w="1730" w:type="dxa"/>
          </w:tcPr>
          <w:p w14:paraId="24C74A7B"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Number of tailored reports with guidelines</w:t>
            </w:r>
          </w:p>
          <w:p w14:paraId="0C8116AC" w14:textId="77777777" w:rsidR="00424388" w:rsidRPr="00424388" w:rsidRDefault="00424388" w:rsidP="009C342A">
            <w:pPr>
              <w:spacing w:before="120" w:line="240" w:lineRule="atLeast"/>
              <w:rPr>
                <w:iCs/>
                <w:color w:val="000000"/>
                <w:sz w:val="16"/>
                <w:szCs w:val="20"/>
              </w:rPr>
            </w:pPr>
          </w:p>
        </w:tc>
        <w:tc>
          <w:tcPr>
            <w:tcW w:w="1452" w:type="dxa"/>
          </w:tcPr>
          <w:p w14:paraId="4F4F7620"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0</w:t>
            </w:r>
          </w:p>
        </w:tc>
        <w:tc>
          <w:tcPr>
            <w:tcW w:w="948" w:type="dxa"/>
          </w:tcPr>
          <w:p w14:paraId="36737D35"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4</w:t>
            </w:r>
          </w:p>
        </w:tc>
        <w:tc>
          <w:tcPr>
            <w:tcW w:w="1352" w:type="dxa"/>
            <w:vMerge w:val="restart"/>
          </w:tcPr>
          <w:p w14:paraId="079738AB" w14:textId="77777777" w:rsidR="00424388" w:rsidRPr="00424388" w:rsidRDefault="00424388" w:rsidP="009C342A">
            <w:pPr>
              <w:spacing w:before="120" w:line="240" w:lineRule="atLeast"/>
              <w:rPr>
                <w:iCs/>
                <w:sz w:val="16"/>
                <w:szCs w:val="20"/>
              </w:rPr>
            </w:pPr>
            <w:r w:rsidRPr="00424388">
              <w:rPr>
                <w:iCs/>
                <w:sz w:val="16"/>
                <w:szCs w:val="20"/>
              </w:rPr>
              <w:t>Technical report with guidelines</w:t>
            </w:r>
          </w:p>
        </w:tc>
        <w:tc>
          <w:tcPr>
            <w:tcW w:w="1369" w:type="dxa"/>
            <w:vMerge w:val="restart"/>
          </w:tcPr>
          <w:p w14:paraId="4F65A680" w14:textId="77777777" w:rsidR="00424388" w:rsidRPr="00424388" w:rsidRDefault="00424388" w:rsidP="009C342A">
            <w:pPr>
              <w:spacing w:before="120" w:line="240" w:lineRule="atLeast"/>
              <w:rPr>
                <w:iCs/>
                <w:sz w:val="16"/>
                <w:szCs w:val="20"/>
              </w:rPr>
            </w:pPr>
            <w:r w:rsidRPr="00424388">
              <w:rPr>
                <w:iCs/>
                <w:sz w:val="16"/>
                <w:szCs w:val="20"/>
              </w:rPr>
              <w:t>Focal points and technical staff mobilise relevant ministries and units that will be linking green budget tagging with other green PFM practices</w:t>
            </w:r>
          </w:p>
        </w:tc>
      </w:tr>
      <w:tr w:rsidR="00424388" w:rsidRPr="00424388" w14:paraId="6D96A60D" w14:textId="77777777" w:rsidTr="00424388">
        <w:trPr>
          <w:trHeight w:val="644"/>
        </w:trPr>
        <w:tc>
          <w:tcPr>
            <w:tcW w:w="0" w:type="auto"/>
            <w:vMerge/>
          </w:tcPr>
          <w:p w14:paraId="75CB1C6F" w14:textId="77777777" w:rsidR="00424388" w:rsidRPr="00424388" w:rsidRDefault="00424388" w:rsidP="009C342A">
            <w:pPr>
              <w:spacing w:before="120" w:line="240" w:lineRule="atLeast"/>
              <w:jc w:val="center"/>
              <w:rPr>
                <w:sz w:val="16"/>
                <w:szCs w:val="20"/>
              </w:rPr>
            </w:pPr>
          </w:p>
        </w:tc>
        <w:tc>
          <w:tcPr>
            <w:tcW w:w="0" w:type="auto"/>
            <w:vMerge/>
          </w:tcPr>
          <w:p w14:paraId="0C0ECFCE" w14:textId="77777777" w:rsidR="00424388" w:rsidRPr="00424388" w:rsidRDefault="00424388" w:rsidP="009C342A">
            <w:pPr>
              <w:spacing w:before="120" w:line="240" w:lineRule="atLeast"/>
              <w:rPr>
                <w:iCs/>
                <w:sz w:val="16"/>
                <w:szCs w:val="20"/>
              </w:rPr>
            </w:pPr>
          </w:p>
        </w:tc>
        <w:tc>
          <w:tcPr>
            <w:tcW w:w="1730" w:type="dxa"/>
          </w:tcPr>
          <w:p w14:paraId="2F46C085"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Number of horizontal reports on other green budgeting practices</w:t>
            </w:r>
          </w:p>
        </w:tc>
        <w:tc>
          <w:tcPr>
            <w:tcW w:w="1452" w:type="dxa"/>
          </w:tcPr>
          <w:p w14:paraId="48546803"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0</w:t>
            </w:r>
          </w:p>
        </w:tc>
        <w:tc>
          <w:tcPr>
            <w:tcW w:w="948" w:type="dxa"/>
          </w:tcPr>
          <w:p w14:paraId="69270FAF"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1</w:t>
            </w:r>
          </w:p>
        </w:tc>
        <w:tc>
          <w:tcPr>
            <w:tcW w:w="1352" w:type="dxa"/>
            <w:vMerge/>
          </w:tcPr>
          <w:p w14:paraId="1A918930" w14:textId="77777777" w:rsidR="00424388" w:rsidRPr="00424388" w:rsidRDefault="00424388" w:rsidP="009C342A">
            <w:pPr>
              <w:spacing w:before="120" w:line="240" w:lineRule="atLeast"/>
              <w:rPr>
                <w:iCs/>
                <w:sz w:val="16"/>
                <w:szCs w:val="20"/>
              </w:rPr>
            </w:pPr>
          </w:p>
        </w:tc>
        <w:tc>
          <w:tcPr>
            <w:tcW w:w="1369" w:type="dxa"/>
            <w:vMerge/>
          </w:tcPr>
          <w:p w14:paraId="5C48BD65" w14:textId="77777777" w:rsidR="00424388" w:rsidRPr="00424388" w:rsidRDefault="00424388" w:rsidP="009C342A">
            <w:pPr>
              <w:spacing w:before="120" w:line="240" w:lineRule="atLeast"/>
              <w:rPr>
                <w:iCs/>
                <w:sz w:val="16"/>
                <w:szCs w:val="20"/>
              </w:rPr>
            </w:pPr>
          </w:p>
        </w:tc>
      </w:tr>
      <w:tr w:rsidR="00424388" w:rsidRPr="002E411F" w14:paraId="7D5DECA8" w14:textId="77777777" w:rsidTr="00424388">
        <w:trPr>
          <w:trHeight w:val="655"/>
        </w:trPr>
        <w:tc>
          <w:tcPr>
            <w:tcW w:w="0" w:type="auto"/>
            <w:vMerge w:val="restart"/>
          </w:tcPr>
          <w:p w14:paraId="476D432C" w14:textId="77777777" w:rsidR="00424388" w:rsidRPr="00424388" w:rsidRDefault="00424388" w:rsidP="009C342A">
            <w:pPr>
              <w:spacing w:before="120" w:line="240" w:lineRule="atLeast"/>
              <w:jc w:val="center"/>
              <w:rPr>
                <w:sz w:val="16"/>
                <w:szCs w:val="20"/>
              </w:rPr>
            </w:pPr>
            <w:r w:rsidRPr="00424388">
              <w:rPr>
                <w:sz w:val="16"/>
                <w:szCs w:val="20"/>
              </w:rPr>
              <w:t>Output 5</w:t>
            </w:r>
          </w:p>
        </w:tc>
        <w:tc>
          <w:tcPr>
            <w:tcW w:w="0" w:type="auto"/>
            <w:vMerge w:val="restart"/>
          </w:tcPr>
          <w:p w14:paraId="45B6D1F7" w14:textId="77777777" w:rsidR="00424388" w:rsidRPr="00424388" w:rsidRDefault="00424388" w:rsidP="009C342A">
            <w:pPr>
              <w:spacing w:before="120" w:line="240" w:lineRule="atLeast"/>
              <w:rPr>
                <w:iCs/>
                <w:sz w:val="16"/>
                <w:szCs w:val="20"/>
              </w:rPr>
            </w:pPr>
            <w:r w:rsidRPr="00424388">
              <w:rPr>
                <w:iCs/>
                <w:sz w:val="16"/>
                <w:szCs w:val="20"/>
              </w:rPr>
              <w:t xml:space="preserve">Final report and dissemination </w:t>
            </w:r>
          </w:p>
        </w:tc>
        <w:tc>
          <w:tcPr>
            <w:tcW w:w="1730" w:type="dxa"/>
          </w:tcPr>
          <w:p w14:paraId="11A1C88D"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Number of final reports with policy paper</w:t>
            </w:r>
          </w:p>
          <w:p w14:paraId="06977835" w14:textId="77777777" w:rsidR="00424388" w:rsidRPr="00424388" w:rsidRDefault="00424388" w:rsidP="009C342A">
            <w:pPr>
              <w:spacing w:before="120" w:line="240" w:lineRule="atLeast"/>
              <w:rPr>
                <w:iCs/>
                <w:color w:val="000000"/>
                <w:sz w:val="16"/>
                <w:szCs w:val="20"/>
              </w:rPr>
            </w:pPr>
          </w:p>
        </w:tc>
        <w:tc>
          <w:tcPr>
            <w:tcW w:w="1452" w:type="dxa"/>
          </w:tcPr>
          <w:p w14:paraId="7BEB3875"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0</w:t>
            </w:r>
          </w:p>
        </w:tc>
        <w:tc>
          <w:tcPr>
            <w:tcW w:w="948" w:type="dxa"/>
          </w:tcPr>
          <w:p w14:paraId="09E1CAFB"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1</w:t>
            </w:r>
          </w:p>
        </w:tc>
        <w:tc>
          <w:tcPr>
            <w:tcW w:w="1352" w:type="dxa"/>
            <w:vMerge w:val="restart"/>
          </w:tcPr>
          <w:p w14:paraId="3634B702" w14:textId="77777777" w:rsidR="00424388" w:rsidRPr="00424388" w:rsidRDefault="00424388" w:rsidP="009C342A">
            <w:pPr>
              <w:spacing w:before="120" w:line="240" w:lineRule="atLeast"/>
              <w:rPr>
                <w:sz w:val="16"/>
                <w:szCs w:val="20"/>
              </w:rPr>
            </w:pPr>
            <w:r w:rsidRPr="00424388">
              <w:rPr>
                <w:sz w:val="16"/>
                <w:szCs w:val="20"/>
                <w:lang w:val="en-US"/>
              </w:rPr>
              <w:t>Interviews, surveys, reports, final evaluation</w:t>
            </w:r>
          </w:p>
          <w:p w14:paraId="1F5D8791" w14:textId="77777777" w:rsidR="00424388" w:rsidRPr="00424388" w:rsidRDefault="00424388" w:rsidP="009C342A">
            <w:pPr>
              <w:spacing w:before="120" w:line="240" w:lineRule="atLeast"/>
              <w:rPr>
                <w:i/>
                <w:sz w:val="16"/>
                <w:szCs w:val="20"/>
              </w:rPr>
            </w:pPr>
          </w:p>
        </w:tc>
        <w:tc>
          <w:tcPr>
            <w:tcW w:w="1369" w:type="dxa"/>
            <w:vMerge w:val="restart"/>
          </w:tcPr>
          <w:p w14:paraId="62269639" w14:textId="77777777" w:rsidR="00424388" w:rsidRPr="00424388" w:rsidRDefault="00424388" w:rsidP="009C342A">
            <w:pPr>
              <w:spacing w:before="120" w:line="240" w:lineRule="atLeast"/>
              <w:rPr>
                <w:iCs/>
                <w:sz w:val="16"/>
                <w:szCs w:val="20"/>
              </w:rPr>
            </w:pPr>
            <w:r w:rsidRPr="00424388">
              <w:rPr>
                <w:iCs/>
                <w:sz w:val="16"/>
                <w:szCs w:val="20"/>
              </w:rPr>
              <w:t>MSs show engagement and will to integrate in short and medium term green budgeting practices</w:t>
            </w:r>
          </w:p>
        </w:tc>
      </w:tr>
      <w:tr w:rsidR="00424388" w:rsidRPr="00424388" w14:paraId="07FA4D56" w14:textId="77777777" w:rsidTr="00424388">
        <w:trPr>
          <w:trHeight w:val="43"/>
        </w:trPr>
        <w:tc>
          <w:tcPr>
            <w:tcW w:w="0" w:type="auto"/>
            <w:vMerge/>
          </w:tcPr>
          <w:p w14:paraId="174CF513" w14:textId="77777777" w:rsidR="00424388" w:rsidRPr="00424388" w:rsidRDefault="00424388" w:rsidP="009C342A">
            <w:pPr>
              <w:spacing w:before="120" w:line="240" w:lineRule="atLeast"/>
              <w:jc w:val="center"/>
              <w:rPr>
                <w:sz w:val="16"/>
              </w:rPr>
            </w:pPr>
          </w:p>
        </w:tc>
        <w:tc>
          <w:tcPr>
            <w:tcW w:w="0" w:type="auto"/>
            <w:vMerge/>
          </w:tcPr>
          <w:p w14:paraId="7E62A01B" w14:textId="77777777" w:rsidR="00424388" w:rsidRPr="00424388" w:rsidRDefault="00424388" w:rsidP="009C342A">
            <w:pPr>
              <w:spacing w:before="120" w:line="240" w:lineRule="atLeast"/>
              <w:rPr>
                <w:iCs/>
                <w:sz w:val="16"/>
              </w:rPr>
            </w:pPr>
          </w:p>
        </w:tc>
        <w:tc>
          <w:tcPr>
            <w:tcW w:w="1730" w:type="dxa"/>
          </w:tcPr>
          <w:p w14:paraId="28A53395"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Number of Ministries of Finances that share the recommendations and horizontal outputs among decisions makers</w:t>
            </w:r>
          </w:p>
        </w:tc>
        <w:tc>
          <w:tcPr>
            <w:tcW w:w="1452" w:type="dxa"/>
          </w:tcPr>
          <w:p w14:paraId="64B893B3"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0</w:t>
            </w:r>
          </w:p>
        </w:tc>
        <w:tc>
          <w:tcPr>
            <w:tcW w:w="948" w:type="dxa"/>
          </w:tcPr>
          <w:p w14:paraId="18071930" w14:textId="77777777" w:rsidR="00424388" w:rsidRPr="00424388" w:rsidRDefault="00424388" w:rsidP="009C342A">
            <w:pPr>
              <w:spacing w:before="120" w:line="240" w:lineRule="atLeast"/>
              <w:rPr>
                <w:iCs/>
                <w:color w:val="000000"/>
                <w:sz w:val="16"/>
                <w:szCs w:val="20"/>
              </w:rPr>
            </w:pPr>
            <w:r w:rsidRPr="00424388">
              <w:rPr>
                <w:iCs/>
                <w:color w:val="000000"/>
                <w:sz w:val="16"/>
                <w:szCs w:val="20"/>
              </w:rPr>
              <w:t>10</w:t>
            </w:r>
          </w:p>
        </w:tc>
        <w:tc>
          <w:tcPr>
            <w:tcW w:w="1352" w:type="dxa"/>
            <w:vMerge/>
          </w:tcPr>
          <w:p w14:paraId="635E1423" w14:textId="77777777" w:rsidR="00424388" w:rsidRPr="00424388" w:rsidRDefault="00424388" w:rsidP="009C342A">
            <w:pPr>
              <w:spacing w:before="120" w:line="240" w:lineRule="atLeast"/>
              <w:rPr>
                <w:i/>
                <w:sz w:val="16"/>
                <w:szCs w:val="20"/>
              </w:rPr>
            </w:pPr>
          </w:p>
        </w:tc>
        <w:tc>
          <w:tcPr>
            <w:tcW w:w="1369" w:type="dxa"/>
            <w:vMerge/>
          </w:tcPr>
          <w:p w14:paraId="2B376A6B" w14:textId="77777777" w:rsidR="00424388" w:rsidRPr="00424388" w:rsidRDefault="00424388" w:rsidP="009C342A">
            <w:pPr>
              <w:spacing w:before="120" w:line="240" w:lineRule="atLeast"/>
              <w:rPr>
                <w:iCs/>
                <w:sz w:val="16"/>
                <w:szCs w:val="20"/>
              </w:rPr>
            </w:pPr>
          </w:p>
        </w:tc>
      </w:tr>
    </w:tbl>
    <w:p w14:paraId="29E8F635" w14:textId="77777777" w:rsidR="00AC47A6" w:rsidRDefault="00AC47A6" w:rsidP="00861094">
      <w:pPr>
        <w:jc w:val="both"/>
        <w:rPr>
          <w:rFonts w:ascii="Calibri" w:hAnsi="Calibri"/>
          <w:sz w:val="22"/>
          <w:szCs w:val="22"/>
        </w:rPr>
      </w:pPr>
    </w:p>
    <w:p w14:paraId="133D749C" w14:textId="77777777" w:rsidR="001D27F6" w:rsidRPr="00D15F32" w:rsidRDefault="001D27F6" w:rsidP="001D27F6">
      <w:pPr>
        <w:rPr>
          <w:rFonts w:ascii="Calibri" w:hAnsi="Calibri"/>
          <w:sz w:val="22"/>
          <w:szCs w:val="22"/>
        </w:rPr>
      </w:pPr>
    </w:p>
    <w:p w14:paraId="37AF4BA1" w14:textId="77777777" w:rsidR="001D27F6" w:rsidRPr="00D15F32" w:rsidRDefault="001D27F6" w:rsidP="008F013B">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Informations pratiques</w:t>
      </w:r>
    </w:p>
    <w:p w14:paraId="79132BA8" w14:textId="77777777" w:rsidR="00A549E0" w:rsidRDefault="00A549E0" w:rsidP="00C85939">
      <w:pPr>
        <w:jc w:val="both"/>
        <w:rPr>
          <w:rFonts w:ascii="Calibri" w:hAnsi="Calibri"/>
          <w:sz w:val="22"/>
          <w:szCs w:val="22"/>
        </w:rPr>
      </w:pPr>
    </w:p>
    <w:p w14:paraId="282CF8B6" w14:textId="77777777" w:rsidR="00C90734" w:rsidRDefault="00C90734" w:rsidP="00C85939">
      <w:pPr>
        <w:jc w:val="both"/>
        <w:rPr>
          <w:rFonts w:ascii="Calibri" w:hAnsi="Calibri"/>
          <w:sz w:val="22"/>
          <w:szCs w:val="22"/>
        </w:rPr>
      </w:pPr>
    </w:p>
    <w:p w14:paraId="604E2E37" w14:textId="77777777" w:rsidR="00C90734" w:rsidRDefault="00C90734" w:rsidP="00C85939">
      <w:pPr>
        <w:jc w:val="both"/>
        <w:rPr>
          <w:rFonts w:ascii="Calibri" w:hAnsi="Calibri"/>
          <w:sz w:val="22"/>
          <w:szCs w:val="22"/>
        </w:rPr>
      </w:pPr>
    </w:p>
    <w:sectPr w:rsidR="00C90734" w:rsidSect="00932E04">
      <w:headerReference w:type="even" r:id="rId13"/>
      <w:headerReference w:type="default" r:id="rId14"/>
      <w:footerReference w:type="even" r:id="rId15"/>
      <w:footerReference w:type="default" r:id="rId16"/>
      <w:headerReference w:type="first" r:id="rId17"/>
      <w:footerReference w:type="first" r:id="rId18"/>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9B75E" w14:textId="77777777" w:rsidR="008F337C" w:rsidRDefault="008F337C">
      <w:r>
        <w:separator/>
      </w:r>
    </w:p>
  </w:endnote>
  <w:endnote w:type="continuationSeparator" w:id="0">
    <w:p w14:paraId="6D198C53" w14:textId="77777777" w:rsidR="008F337C" w:rsidRDefault="008F3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24BF8BF0"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2E411F">
      <w:rPr>
        <w:rStyle w:val="Numrodepage"/>
        <w:rFonts w:ascii="Calibri" w:hAnsi="Calibri"/>
        <w:noProof/>
        <w:sz w:val="20"/>
        <w:szCs w:val="20"/>
      </w:rPr>
      <w:t>8</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r w:rsidRPr="00283E74">
      <w:rPr>
        <w:rFonts w:asciiTheme="minorHAnsi" w:hAnsiTheme="minorHAnsi"/>
        <w:sz w:val="22"/>
      </w:rPr>
      <w:t>R</w:t>
    </w:r>
    <w:r>
      <w:rPr>
        <w:rFonts w:asciiTheme="minorHAnsi" w:hAnsiTheme="minorHAnsi"/>
        <w:sz w:val="22"/>
      </w:rPr>
      <w:t>ef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870B8F" w:rsidRDefault="00283E74" w:rsidP="00870B8F">
    <w:pPr>
      <w:pStyle w:val="Pieddepage"/>
      <w:tabs>
        <w:tab w:val="clear" w:pos="4536"/>
      </w:tabs>
      <w:rPr>
        <w:rFonts w:asciiTheme="minorHAnsi" w:hAnsiTheme="minorHAnsi"/>
        <w:sz w:val="22"/>
      </w:rPr>
    </w:pPr>
    <w:r w:rsidRPr="00283E74">
      <w:rPr>
        <w:rFonts w:asciiTheme="minorHAnsi" w:hAnsiTheme="minorHAnsi"/>
        <w:sz w:val="22"/>
      </w:rPr>
      <w:t>R</w:t>
    </w:r>
    <w:r w:rsidR="00870B8F">
      <w:rPr>
        <w:rFonts w:asciiTheme="minorHAnsi" w:hAnsiTheme="minorHAnsi"/>
        <w:sz w:val="22"/>
      </w:rPr>
      <w:t xml:space="preserve">ef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7903B1AB"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2E411F">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2E411F">
              <w:rPr>
                <w:rFonts w:asciiTheme="minorHAnsi" w:hAnsiTheme="minorHAnsi"/>
                <w:b/>
                <w:bCs/>
                <w:noProof/>
                <w:sz w:val="22"/>
              </w:rPr>
              <w:t>9</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C197D" w14:textId="77777777" w:rsidR="008F337C" w:rsidRDefault="008F337C">
      <w:r>
        <w:separator/>
      </w:r>
    </w:p>
  </w:footnote>
  <w:footnote w:type="continuationSeparator" w:id="0">
    <w:p w14:paraId="383AE57E" w14:textId="77777777" w:rsidR="008F337C" w:rsidRDefault="008F33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lang w:val="en-GB" w:eastAsia="en-GB"/>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2E411F">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lang w:val="en-GB" w:eastAsia="en-GB"/>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7B7543" w:rsidRDefault="00870B8F">
    <w:pPr>
      <w:pStyle w:val="En-tte"/>
    </w:pPr>
    <w:r w:rsidRPr="001C1FC5">
      <w:rPr>
        <w:rFonts w:cs="Arial"/>
        <w:noProof/>
        <w:sz w:val="16"/>
        <w:szCs w:val="16"/>
        <w:lang w:val="en-GB" w:eastAsia="en-GB"/>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B66A26"/>
    <w:multiLevelType w:val="hybridMultilevel"/>
    <w:tmpl w:val="D20248B6"/>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927"/>
        </w:tabs>
        <w:ind w:left="927"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A45A8008">
      <w:numFmt w:val="bullet"/>
      <w:lvlText w:val="-"/>
      <w:lvlJc w:val="left"/>
      <w:pPr>
        <w:ind w:left="2880" w:hanging="360"/>
      </w:pPr>
      <w:rPr>
        <w:rFonts w:ascii="Calibri" w:eastAsia="Times New Roman" w:hAnsi="Calibri" w:cs="Calibri" w:hint="default"/>
      </w:rPr>
    </w:lvl>
    <w:lvl w:ilvl="4" w:tplc="FF16BB86">
      <w:numFmt w:val="bullet"/>
      <w:lvlText w:val="•"/>
      <w:lvlJc w:val="left"/>
      <w:pPr>
        <w:ind w:left="3950" w:hanging="710"/>
      </w:pPr>
      <w:rPr>
        <w:rFonts w:ascii="Calibri" w:eastAsia="Times New Roman" w:hAnsi="Calibri" w:cs="Calibri" w:hint="default"/>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F6E34AE"/>
    <w:multiLevelType w:val="hybridMultilevel"/>
    <w:tmpl w:val="716A4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D602EA"/>
    <w:multiLevelType w:val="hybridMultilevel"/>
    <w:tmpl w:val="E73681A4"/>
    <w:lvl w:ilvl="0" w:tplc="E902A3B0">
      <w:start w:val="3"/>
      <w:numFmt w:val="bullet"/>
      <w:lvlText w:val="-"/>
      <w:lvlJc w:val="left"/>
      <w:pPr>
        <w:ind w:left="900" w:hanging="360"/>
      </w:pPr>
      <w:rPr>
        <w:rFonts w:ascii="Times New Roman" w:eastAsia="Times New Roman"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4"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E41212"/>
    <w:multiLevelType w:val="hybridMultilevel"/>
    <w:tmpl w:val="E32469C0"/>
    <w:lvl w:ilvl="0" w:tplc="040C0001">
      <w:start w:val="1"/>
      <w:numFmt w:val="bullet"/>
      <w:lvlText w:val=""/>
      <w:lvlJc w:val="left"/>
      <w:pPr>
        <w:tabs>
          <w:tab w:val="num" w:pos="720"/>
        </w:tabs>
        <w:ind w:left="720" w:hanging="180"/>
      </w:pPr>
      <w:rPr>
        <w:rFonts w:ascii="Symbol" w:hAnsi="Symbol"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A45A8008">
      <w:numFmt w:val="bullet"/>
      <w:lvlText w:val="-"/>
      <w:lvlJc w:val="left"/>
      <w:pPr>
        <w:ind w:left="2880" w:hanging="360"/>
      </w:pPr>
      <w:rPr>
        <w:rFonts w:ascii="Calibri" w:eastAsia="Times New Roman" w:hAnsi="Calibri" w:cs="Calibri" w:hint="default"/>
      </w:rPr>
    </w:lvl>
    <w:lvl w:ilvl="4" w:tplc="FF16BB86">
      <w:numFmt w:val="bullet"/>
      <w:lvlText w:val="•"/>
      <w:lvlJc w:val="left"/>
      <w:pPr>
        <w:ind w:left="3950" w:hanging="710"/>
      </w:pPr>
      <w:rPr>
        <w:rFonts w:ascii="Calibri" w:eastAsia="Times New Roman" w:hAnsi="Calibri" w:cs="Calibri" w:hint="default"/>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60731B0"/>
    <w:multiLevelType w:val="hybridMultilevel"/>
    <w:tmpl w:val="E89A05F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8" w15:restartNumberingAfterBreak="0">
    <w:nsid w:val="4A880058"/>
    <w:multiLevelType w:val="hybridMultilevel"/>
    <w:tmpl w:val="CD4A1B2E"/>
    <w:lvl w:ilvl="0" w:tplc="E902A3B0">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647489"/>
    <w:multiLevelType w:val="hybridMultilevel"/>
    <w:tmpl w:val="E1A65B7E"/>
    <w:lvl w:ilvl="0" w:tplc="E902A3B0">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C84C5E"/>
    <w:multiLevelType w:val="hybridMultilevel"/>
    <w:tmpl w:val="E4226BD4"/>
    <w:lvl w:ilvl="0" w:tplc="08090001">
      <w:start w:val="1"/>
      <w:numFmt w:val="bullet"/>
      <w:lvlText w:val=""/>
      <w:lvlJc w:val="left"/>
      <w:pPr>
        <w:ind w:left="827" w:hanging="360"/>
      </w:pPr>
      <w:rPr>
        <w:rFonts w:ascii="Symbol" w:hAnsi="Symbol" w:hint="default"/>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13" w15:restartNumberingAfterBreak="0">
    <w:nsid w:val="69BC21B7"/>
    <w:multiLevelType w:val="hybridMultilevel"/>
    <w:tmpl w:val="57D4DC88"/>
    <w:lvl w:ilvl="0" w:tplc="E902A3B0">
      <w:start w:val="3"/>
      <w:numFmt w:val="bullet"/>
      <w:lvlText w:val="-"/>
      <w:lvlJc w:val="left"/>
      <w:pPr>
        <w:ind w:left="900" w:hanging="360"/>
      </w:pPr>
      <w:rPr>
        <w:rFonts w:ascii="Times New Roman" w:eastAsia="Times New Roman" w:hAnsi="Times New Roman" w:cs="Times New Roman" w:hint="default"/>
      </w:rPr>
    </w:lvl>
    <w:lvl w:ilvl="1" w:tplc="08090003">
      <w:start w:val="1"/>
      <w:numFmt w:val="bullet"/>
      <w:lvlText w:val="o"/>
      <w:lvlJc w:val="left"/>
      <w:pPr>
        <w:ind w:left="1620" w:hanging="360"/>
      </w:pPr>
      <w:rPr>
        <w:rFonts w:ascii="Courier New" w:hAnsi="Courier New" w:cs="Courier New" w:hint="default"/>
      </w:rPr>
    </w:lvl>
    <w:lvl w:ilvl="2" w:tplc="08090005">
      <w:start w:val="1"/>
      <w:numFmt w:val="bullet"/>
      <w:lvlText w:val=""/>
      <w:lvlJc w:val="left"/>
      <w:pPr>
        <w:ind w:left="2340" w:hanging="360"/>
      </w:pPr>
      <w:rPr>
        <w:rFonts w:ascii="Wingdings" w:hAnsi="Wingdings" w:hint="default"/>
      </w:rPr>
    </w:lvl>
    <w:lvl w:ilvl="3" w:tplc="E902A3B0">
      <w:start w:val="3"/>
      <w:numFmt w:val="bullet"/>
      <w:lvlText w:val="-"/>
      <w:lvlJc w:val="left"/>
      <w:pPr>
        <w:ind w:left="3060" w:hanging="360"/>
      </w:pPr>
      <w:rPr>
        <w:rFonts w:ascii="Times New Roman" w:eastAsia="Times New Roman" w:hAnsi="Times New Roman" w:cs="Times New Roman"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4"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0C625F0"/>
    <w:multiLevelType w:val="hybridMultilevel"/>
    <w:tmpl w:val="57781794"/>
    <w:lvl w:ilvl="0" w:tplc="08090001">
      <w:start w:val="1"/>
      <w:numFmt w:val="bullet"/>
      <w:lvlText w:val=""/>
      <w:lvlJc w:val="left"/>
      <w:pPr>
        <w:ind w:left="827" w:hanging="360"/>
      </w:pPr>
      <w:rPr>
        <w:rFonts w:ascii="Symbol" w:hAnsi="Symbol" w:hint="default"/>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num w:numId="1">
    <w:abstractNumId w:val="4"/>
  </w:num>
  <w:num w:numId="2">
    <w:abstractNumId w:val="1"/>
  </w:num>
  <w:num w:numId="3">
    <w:abstractNumId w:val="9"/>
  </w:num>
  <w:num w:numId="4">
    <w:abstractNumId w:val="7"/>
  </w:num>
  <w:num w:numId="5">
    <w:abstractNumId w:val="11"/>
  </w:num>
  <w:num w:numId="6">
    <w:abstractNumId w:val="14"/>
  </w:num>
  <w:num w:numId="7">
    <w:abstractNumId w:val="0"/>
  </w:num>
  <w:num w:numId="8">
    <w:abstractNumId w:val="13"/>
  </w:num>
  <w:num w:numId="9">
    <w:abstractNumId w:val="6"/>
  </w:num>
  <w:num w:numId="10">
    <w:abstractNumId w:val="5"/>
  </w:num>
  <w:num w:numId="11">
    <w:abstractNumId w:val="2"/>
  </w:num>
  <w:num w:numId="12">
    <w:abstractNumId w:val="15"/>
  </w:num>
  <w:num w:numId="13">
    <w:abstractNumId w:val="12"/>
  </w:num>
  <w:num w:numId="14">
    <w:abstractNumId w:val="8"/>
  </w:num>
  <w:num w:numId="15">
    <w:abstractNumId w:val="3"/>
  </w:num>
  <w:num w:numId="16">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30FE2"/>
    <w:rsid w:val="00043041"/>
    <w:rsid w:val="0005150B"/>
    <w:rsid w:val="00055547"/>
    <w:rsid w:val="00060146"/>
    <w:rsid w:val="000630CD"/>
    <w:rsid w:val="00067734"/>
    <w:rsid w:val="0007063D"/>
    <w:rsid w:val="00074E17"/>
    <w:rsid w:val="000942EE"/>
    <w:rsid w:val="0009628C"/>
    <w:rsid w:val="000972A8"/>
    <w:rsid w:val="000B23F1"/>
    <w:rsid w:val="000B5012"/>
    <w:rsid w:val="000B7D24"/>
    <w:rsid w:val="000C38CD"/>
    <w:rsid w:val="000C4797"/>
    <w:rsid w:val="000D0C1B"/>
    <w:rsid w:val="000E75D7"/>
    <w:rsid w:val="0010576D"/>
    <w:rsid w:val="0010646A"/>
    <w:rsid w:val="001133D5"/>
    <w:rsid w:val="001343FC"/>
    <w:rsid w:val="00135AF5"/>
    <w:rsid w:val="001441C8"/>
    <w:rsid w:val="00157DB7"/>
    <w:rsid w:val="00161C54"/>
    <w:rsid w:val="0016429A"/>
    <w:rsid w:val="0017140E"/>
    <w:rsid w:val="00181B27"/>
    <w:rsid w:val="00182325"/>
    <w:rsid w:val="001861DC"/>
    <w:rsid w:val="00187AD4"/>
    <w:rsid w:val="001927C4"/>
    <w:rsid w:val="0019451A"/>
    <w:rsid w:val="001A29FD"/>
    <w:rsid w:val="001B7333"/>
    <w:rsid w:val="001C534A"/>
    <w:rsid w:val="001C6D6C"/>
    <w:rsid w:val="001D27F6"/>
    <w:rsid w:val="001D6119"/>
    <w:rsid w:val="001E5EB8"/>
    <w:rsid w:val="001E6E76"/>
    <w:rsid w:val="0020249E"/>
    <w:rsid w:val="00225A55"/>
    <w:rsid w:val="00257A40"/>
    <w:rsid w:val="00257AA9"/>
    <w:rsid w:val="00261EB0"/>
    <w:rsid w:val="00281B2F"/>
    <w:rsid w:val="00283E74"/>
    <w:rsid w:val="00292DA8"/>
    <w:rsid w:val="002A361E"/>
    <w:rsid w:val="002B55DC"/>
    <w:rsid w:val="002B6697"/>
    <w:rsid w:val="002C2D52"/>
    <w:rsid w:val="002C6EDB"/>
    <w:rsid w:val="002D64BE"/>
    <w:rsid w:val="002E2558"/>
    <w:rsid w:val="002E411F"/>
    <w:rsid w:val="002F4775"/>
    <w:rsid w:val="002F56B7"/>
    <w:rsid w:val="00304DFC"/>
    <w:rsid w:val="00310F15"/>
    <w:rsid w:val="00320ED4"/>
    <w:rsid w:val="00342D93"/>
    <w:rsid w:val="0035719D"/>
    <w:rsid w:val="00361C7F"/>
    <w:rsid w:val="00361E2D"/>
    <w:rsid w:val="0036493B"/>
    <w:rsid w:val="00373D7B"/>
    <w:rsid w:val="00390C30"/>
    <w:rsid w:val="003A0700"/>
    <w:rsid w:val="003A7185"/>
    <w:rsid w:val="003A7507"/>
    <w:rsid w:val="003B79B7"/>
    <w:rsid w:val="0041571A"/>
    <w:rsid w:val="00424388"/>
    <w:rsid w:val="004252AC"/>
    <w:rsid w:val="0047117E"/>
    <w:rsid w:val="00475709"/>
    <w:rsid w:val="00483E58"/>
    <w:rsid w:val="004A529D"/>
    <w:rsid w:val="004B27A3"/>
    <w:rsid w:val="004B4F74"/>
    <w:rsid w:val="004B73C3"/>
    <w:rsid w:val="004B7D32"/>
    <w:rsid w:val="004C1D0E"/>
    <w:rsid w:val="004D28C2"/>
    <w:rsid w:val="004D4894"/>
    <w:rsid w:val="004F0DD7"/>
    <w:rsid w:val="00504682"/>
    <w:rsid w:val="00527F33"/>
    <w:rsid w:val="00536DB7"/>
    <w:rsid w:val="005433DB"/>
    <w:rsid w:val="00544DBE"/>
    <w:rsid w:val="00552079"/>
    <w:rsid w:val="005543AC"/>
    <w:rsid w:val="005568BE"/>
    <w:rsid w:val="00561408"/>
    <w:rsid w:val="005640DD"/>
    <w:rsid w:val="00566B92"/>
    <w:rsid w:val="00570273"/>
    <w:rsid w:val="005705AC"/>
    <w:rsid w:val="00572A2F"/>
    <w:rsid w:val="00573F5D"/>
    <w:rsid w:val="00582DF4"/>
    <w:rsid w:val="005A0EBB"/>
    <w:rsid w:val="005C0011"/>
    <w:rsid w:val="005C0BC2"/>
    <w:rsid w:val="005C1113"/>
    <w:rsid w:val="005E242C"/>
    <w:rsid w:val="00600B22"/>
    <w:rsid w:val="00606D3A"/>
    <w:rsid w:val="00612D61"/>
    <w:rsid w:val="00631124"/>
    <w:rsid w:val="00671483"/>
    <w:rsid w:val="006915E8"/>
    <w:rsid w:val="006B4815"/>
    <w:rsid w:val="006B565D"/>
    <w:rsid w:val="006B5831"/>
    <w:rsid w:val="006C53A4"/>
    <w:rsid w:val="006D0316"/>
    <w:rsid w:val="006D0357"/>
    <w:rsid w:val="006D53E3"/>
    <w:rsid w:val="006D71C7"/>
    <w:rsid w:val="006F4E71"/>
    <w:rsid w:val="007221B0"/>
    <w:rsid w:val="00724D6B"/>
    <w:rsid w:val="00725A3A"/>
    <w:rsid w:val="0074075A"/>
    <w:rsid w:val="0076221F"/>
    <w:rsid w:val="007648E0"/>
    <w:rsid w:val="0076595C"/>
    <w:rsid w:val="00777EC5"/>
    <w:rsid w:val="00781C92"/>
    <w:rsid w:val="0078270B"/>
    <w:rsid w:val="007A6627"/>
    <w:rsid w:val="007A68E0"/>
    <w:rsid w:val="007A6963"/>
    <w:rsid w:val="007A78AB"/>
    <w:rsid w:val="007B7543"/>
    <w:rsid w:val="007C5930"/>
    <w:rsid w:val="007C5E84"/>
    <w:rsid w:val="007E2C68"/>
    <w:rsid w:val="007E3BA6"/>
    <w:rsid w:val="007F1763"/>
    <w:rsid w:val="00802FB2"/>
    <w:rsid w:val="00807BE1"/>
    <w:rsid w:val="00811A93"/>
    <w:rsid w:val="00816671"/>
    <w:rsid w:val="00826321"/>
    <w:rsid w:val="008273B0"/>
    <w:rsid w:val="00851ADF"/>
    <w:rsid w:val="008570BD"/>
    <w:rsid w:val="00861094"/>
    <w:rsid w:val="00862471"/>
    <w:rsid w:val="00870B8F"/>
    <w:rsid w:val="00884A79"/>
    <w:rsid w:val="008904E9"/>
    <w:rsid w:val="00894FD8"/>
    <w:rsid w:val="008A1BC0"/>
    <w:rsid w:val="008A3A79"/>
    <w:rsid w:val="008A59C4"/>
    <w:rsid w:val="008B3831"/>
    <w:rsid w:val="008B4C74"/>
    <w:rsid w:val="008B5A29"/>
    <w:rsid w:val="008C0578"/>
    <w:rsid w:val="008D5785"/>
    <w:rsid w:val="008E2E66"/>
    <w:rsid w:val="008E7E3F"/>
    <w:rsid w:val="008F013B"/>
    <w:rsid w:val="008F337C"/>
    <w:rsid w:val="008F436C"/>
    <w:rsid w:val="008F5EE2"/>
    <w:rsid w:val="0090138E"/>
    <w:rsid w:val="00906B81"/>
    <w:rsid w:val="00911946"/>
    <w:rsid w:val="0091201F"/>
    <w:rsid w:val="009236DE"/>
    <w:rsid w:val="00925D18"/>
    <w:rsid w:val="00932C58"/>
    <w:rsid w:val="00932E04"/>
    <w:rsid w:val="00934199"/>
    <w:rsid w:val="0094211D"/>
    <w:rsid w:val="009649DE"/>
    <w:rsid w:val="00965444"/>
    <w:rsid w:val="009724D1"/>
    <w:rsid w:val="00972757"/>
    <w:rsid w:val="009758EA"/>
    <w:rsid w:val="00982D83"/>
    <w:rsid w:val="00983FF0"/>
    <w:rsid w:val="009A0825"/>
    <w:rsid w:val="009A38B1"/>
    <w:rsid w:val="009D6EC9"/>
    <w:rsid w:val="009F29F4"/>
    <w:rsid w:val="00A07668"/>
    <w:rsid w:val="00A10213"/>
    <w:rsid w:val="00A14686"/>
    <w:rsid w:val="00A211B9"/>
    <w:rsid w:val="00A21B0C"/>
    <w:rsid w:val="00A25884"/>
    <w:rsid w:val="00A25CED"/>
    <w:rsid w:val="00A40DDD"/>
    <w:rsid w:val="00A549E0"/>
    <w:rsid w:val="00A60925"/>
    <w:rsid w:val="00A62141"/>
    <w:rsid w:val="00A671D9"/>
    <w:rsid w:val="00A67B64"/>
    <w:rsid w:val="00A84C5B"/>
    <w:rsid w:val="00AC0DEF"/>
    <w:rsid w:val="00AC26E5"/>
    <w:rsid w:val="00AC47A6"/>
    <w:rsid w:val="00AD7027"/>
    <w:rsid w:val="00AE410D"/>
    <w:rsid w:val="00AF24A3"/>
    <w:rsid w:val="00AF63C1"/>
    <w:rsid w:val="00AF703C"/>
    <w:rsid w:val="00B02F58"/>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C7397"/>
    <w:rsid w:val="00BD7CF0"/>
    <w:rsid w:val="00BE065F"/>
    <w:rsid w:val="00BE73A8"/>
    <w:rsid w:val="00BF1DCD"/>
    <w:rsid w:val="00C04448"/>
    <w:rsid w:val="00C2325C"/>
    <w:rsid w:val="00C37578"/>
    <w:rsid w:val="00C41B22"/>
    <w:rsid w:val="00C47B21"/>
    <w:rsid w:val="00C558B8"/>
    <w:rsid w:val="00C56AB3"/>
    <w:rsid w:val="00C74FA7"/>
    <w:rsid w:val="00C7752A"/>
    <w:rsid w:val="00C823E2"/>
    <w:rsid w:val="00C858E7"/>
    <w:rsid w:val="00C85939"/>
    <w:rsid w:val="00C90734"/>
    <w:rsid w:val="00C92C93"/>
    <w:rsid w:val="00C96EB6"/>
    <w:rsid w:val="00CA3272"/>
    <w:rsid w:val="00CA7B5D"/>
    <w:rsid w:val="00CB6554"/>
    <w:rsid w:val="00CB7AA1"/>
    <w:rsid w:val="00CC6FDD"/>
    <w:rsid w:val="00CD74FC"/>
    <w:rsid w:val="00CD7D48"/>
    <w:rsid w:val="00CE209F"/>
    <w:rsid w:val="00CE2850"/>
    <w:rsid w:val="00D004C1"/>
    <w:rsid w:val="00D15F32"/>
    <w:rsid w:val="00D162B7"/>
    <w:rsid w:val="00D216E0"/>
    <w:rsid w:val="00D31392"/>
    <w:rsid w:val="00D4352B"/>
    <w:rsid w:val="00D53D65"/>
    <w:rsid w:val="00D714C6"/>
    <w:rsid w:val="00D8743B"/>
    <w:rsid w:val="00D95E08"/>
    <w:rsid w:val="00DA3034"/>
    <w:rsid w:val="00DC5E4B"/>
    <w:rsid w:val="00DC7B58"/>
    <w:rsid w:val="00DD197B"/>
    <w:rsid w:val="00DD7DDE"/>
    <w:rsid w:val="00DE4EEB"/>
    <w:rsid w:val="00DE6B38"/>
    <w:rsid w:val="00DE7E0A"/>
    <w:rsid w:val="00DF35A3"/>
    <w:rsid w:val="00DF55BA"/>
    <w:rsid w:val="00E02FAD"/>
    <w:rsid w:val="00E11EE8"/>
    <w:rsid w:val="00E167A2"/>
    <w:rsid w:val="00E232E1"/>
    <w:rsid w:val="00E274DF"/>
    <w:rsid w:val="00E554EE"/>
    <w:rsid w:val="00E55911"/>
    <w:rsid w:val="00E56034"/>
    <w:rsid w:val="00E61983"/>
    <w:rsid w:val="00E61D25"/>
    <w:rsid w:val="00E67FC4"/>
    <w:rsid w:val="00E852A6"/>
    <w:rsid w:val="00E86382"/>
    <w:rsid w:val="00E9411A"/>
    <w:rsid w:val="00EA4B51"/>
    <w:rsid w:val="00EC3375"/>
    <w:rsid w:val="00EC5FEA"/>
    <w:rsid w:val="00EF2003"/>
    <w:rsid w:val="00EF6139"/>
    <w:rsid w:val="00F0399F"/>
    <w:rsid w:val="00F03AE9"/>
    <w:rsid w:val="00F05694"/>
    <w:rsid w:val="00F112B8"/>
    <w:rsid w:val="00F135FB"/>
    <w:rsid w:val="00F17A78"/>
    <w:rsid w:val="00F20B71"/>
    <w:rsid w:val="00F34369"/>
    <w:rsid w:val="00F37989"/>
    <w:rsid w:val="00F60786"/>
    <w:rsid w:val="00F67012"/>
    <w:rsid w:val="00F71F65"/>
    <w:rsid w:val="00F7782D"/>
    <w:rsid w:val="00F82B31"/>
    <w:rsid w:val="00F84E72"/>
    <w:rsid w:val="00FA0D71"/>
    <w:rsid w:val="00FB3002"/>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table" w:customStyle="1" w:styleId="Tablaconcuadrcula2">
    <w:name w:val="Tabla con cuadrícula2"/>
    <w:basedOn w:val="TableauNormal"/>
    <w:next w:val="Grilledutableau"/>
    <w:uiPriority w:val="59"/>
    <w:rsid w:val="00424388"/>
    <w:pPr>
      <w:spacing w:after="120"/>
      <w:jc w:val="both"/>
    </w:pPr>
    <w:rPr>
      <w:rFonts w:ascii="Calibri" w:eastAsiaTheme="minorHAnsi" w:hAnsi="Calibr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90571">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50663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si/assets/ministrstva/MF/Proracun-direktorat/Drzavni-proracun/NRP/Metodologija-za-zeleno-proracunsko-nacrtovanje.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onomy-finance.ec.europa.eu/economic-and-fiscal-governance/national-fiscal-frameworks-eu-member-states/green-budgeting-eu_e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onomy-finance.ec.europa.eu/document/download/b0eac9f9-fe44-43fe-9eb5-3225f436f488_en?filename=DG%20ECFIN_What%20has%20been%20achieved%20so%20far_0.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onomy-finance.ec.europa.eu/document/download/c12ebe1d-442f-4ee1-bfae-7bbfe06f9098_en?filename=dp196_en.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conomy-finance.ec.europa.eu/document/download/c12ebe1d-442f-4ee1-bfae-7bbfe06f9098_en?filename=dp196_en.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0F39D-A3B5-47A7-A71C-3E6E910F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2877</Words>
  <Characters>18285</Characters>
  <Application>Microsoft Office Word</Application>
  <DocSecurity>0</DocSecurity>
  <Lines>152</Lines>
  <Paragraphs>42</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21120</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Marilou FIORENTINO</cp:lastModifiedBy>
  <cp:revision>6</cp:revision>
  <cp:lastPrinted>2013-05-24T14:05:00Z</cp:lastPrinted>
  <dcterms:created xsi:type="dcterms:W3CDTF">2025-06-30T14:23:00Z</dcterms:created>
  <dcterms:modified xsi:type="dcterms:W3CDTF">2025-07-09T13:15:00Z</dcterms:modified>
</cp:coreProperties>
</file>